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22" w:rsidRDefault="00FD1522" w:rsidP="00040A6E">
      <w:pPr>
        <w:jc w:val="center"/>
        <w:rPr>
          <w:b/>
          <w:bCs/>
        </w:rPr>
      </w:pPr>
      <w:bookmarkStart w:id="0" w:name="_GoBack"/>
      <w:bookmarkEnd w:id="0"/>
    </w:p>
    <w:p w:rsidR="00040A6E" w:rsidRDefault="00040A6E" w:rsidP="00FD1522">
      <w:pPr>
        <w:pStyle w:val="Heading1"/>
        <w:jc w:val="center"/>
      </w:pPr>
      <w:r>
        <w:rPr>
          <w:noProof/>
        </w:rPr>
        <w:drawing>
          <wp:inline distT="0" distB="0" distL="0" distR="0" wp14:anchorId="2BEF90C5" wp14:editId="2091B3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p w:rsidR="00040A6E" w:rsidRDefault="00040A6E" w:rsidP="00FD1522">
      <w:pPr>
        <w:pStyle w:val="Heading1"/>
        <w:jc w:val="center"/>
      </w:pPr>
    </w:p>
    <w:p w:rsidR="00040A6E" w:rsidRDefault="00040A6E" w:rsidP="00FD1522">
      <w:pPr>
        <w:pStyle w:val="Heading1"/>
        <w:jc w:val="center"/>
      </w:pPr>
      <w:r>
        <w:t>Study Protocol</w:t>
      </w:r>
    </w:p>
    <w:p w:rsidR="00FD1522" w:rsidRDefault="00FD1522" w:rsidP="00040A6E">
      <w:pPr>
        <w:pStyle w:val="Heading2"/>
        <w:jc w:val="center"/>
      </w:pPr>
      <w:r w:rsidRPr="00FD1522">
        <w:t>International</w:t>
      </w:r>
      <w:r>
        <w:t xml:space="preserve"> A-T Registry</w:t>
      </w:r>
    </w:p>
    <w:p w:rsidR="00040A6E" w:rsidRDefault="00040A6E" w:rsidP="00040A6E"/>
    <w:p w:rsidR="00040A6E" w:rsidRPr="00040A6E" w:rsidRDefault="00040A6E" w:rsidP="00040A6E">
      <w:pPr>
        <w:autoSpaceDE w:val="0"/>
        <w:autoSpaceDN w:val="0"/>
        <w:adjustRightInd w:val="0"/>
        <w:spacing w:after="0" w:line="240" w:lineRule="auto"/>
        <w:rPr>
          <w:rFonts w:cs="Arial"/>
          <w:color w:val="000000"/>
          <w:sz w:val="24"/>
          <w:szCs w:val="24"/>
        </w:rPr>
      </w:pPr>
    </w:p>
    <w:p w:rsidR="00040A6E" w:rsidRPr="00040A6E" w:rsidRDefault="00040A6E" w:rsidP="00040A6E">
      <w:pPr>
        <w:jc w:val="center"/>
      </w:pPr>
      <w:r w:rsidRPr="00040A6E">
        <w:rPr>
          <w:rFonts w:cs="Arial"/>
          <w:b/>
          <w:bCs/>
          <w:color w:val="000000"/>
        </w:rPr>
        <w:t xml:space="preserve">Protocol Version Number: </w:t>
      </w:r>
      <w:r>
        <w:rPr>
          <w:rFonts w:cs="Arial"/>
          <w:b/>
          <w:bCs/>
          <w:color w:val="000000"/>
        </w:rPr>
        <w:t>1</w:t>
      </w:r>
      <w:r w:rsidRPr="00040A6E">
        <w:rPr>
          <w:rFonts w:cs="Arial"/>
          <w:b/>
          <w:bCs/>
          <w:color w:val="000000"/>
        </w:rPr>
        <w:t>.</w:t>
      </w:r>
      <w:r w:rsidR="0009465A">
        <w:rPr>
          <w:rFonts w:cs="Arial"/>
          <w:b/>
          <w:bCs/>
          <w:color w:val="000000"/>
        </w:rPr>
        <w:t>1</w:t>
      </w:r>
    </w:p>
    <w:p w:rsidR="00040A6E" w:rsidRDefault="00FD1522" w:rsidP="00040A6E">
      <w:pPr>
        <w:pStyle w:val="Default"/>
        <w:rPr>
          <w:b/>
          <w:bCs/>
        </w:rPr>
      </w:pPr>
      <w:r w:rsidRPr="00FD1522">
        <w:br w:type="page"/>
      </w:r>
    </w:p>
    <w:p w:rsidR="00904E89" w:rsidRDefault="00904E89" w:rsidP="00040A6E">
      <w:pPr>
        <w:pStyle w:val="Default"/>
        <w:rPr>
          <w:b/>
          <w:bCs/>
          <w:sz w:val="22"/>
          <w:szCs w:val="22"/>
        </w:rPr>
      </w:pPr>
    </w:p>
    <w:p w:rsidR="00904E89" w:rsidRDefault="00904E89" w:rsidP="00040A6E">
      <w:pPr>
        <w:pStyle w:val="Default"/>
        <w:rPr>
          <w:b/>
          <w:bCs/>
          <w:sz w:val="22"/>
          <w:szCs w:val="22"/>
        </w:rPr>
      </w:pPr>
    </w:p>
    <w:p w:rsidR="00904E89" w:rsidRDefault="00904E89" w:rsidP="00040A6E">
      <w:pPr>
        <w:pStyle w:val="Default"/>
        <w:rPr>
          <w:b/>
          <w:bCs/>
          <w:sz w:val="22"/>
          <w:szCs w:val="22"/>
        </w:rPr>
      </w:pPr>
    </w:p>
    <w:p w:rsidR="00904E89" w:rsidRDefault="00904E89" w:rsidP="00040A6E">
      <w:pPr>
        <w:pStyle w:val="Default"/>
        <w:rPr>
          <w:b/>
          <w:bCs/>
          <w:sz w:val="22"/>
          <w:szCs w:val="22"/>
        </w:rPr>
      </w:pPr>
    </w:p>
    <w:p w:rsidR="00040A6E" w:rsidRPr="00040A6E" w:rsidRDefault="00040A6E" w:rsidP="00904E89">
      <w:pPr>
        <w:pStyle w:val="Heading3"/>
      </w:pPr>
      <w:r w:rsidRPr="00904E89">
        <w:t>Contents</w:t>
      </w:r>
      <w:r>
        <w:tab/>
      </w:r>
      <w:r>
        <w:tab/>
      </w:r>
      <w:r>
        <w:tab/>
      </w:r>
      <w:r>
        <w:tab/>
      </w:r>
      <w:r>
        <w:tab/>
      </w:r>
      <w:r>
        <w:tab/>
      </w:r>
      <w:r>
        <w:tab/>
      </w:r>
      <w:r>
        <w:tab/>
      </w:r>
      <w:r>
        <w:tab/>
      </w:r>
      <w:r>
        <w:tab/>
      </w:r>
      <w:r w:rsidRPr="00040A6E">
        <w:t xml:space="preserve"> </w:t>
      </w:r>
      <w:r w:rsidRPr="00904E89">
        <w:t>Page</w:t>
      </w:r>
      <w:r w:rsidRPr="00040A6E">
        <w:t xml:space="preserve">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1. </w:t>
      </w:r>
      <w:r w:rsidR="00952989" w:rsidRPr="00040A6E">
        <w:rPr>
          <w:rFonts w:cs="Arial"/>
          <w:color w:val="000000"/>
        </w:rPr>
        <w:t xml:space="preserve">Introduction.............................................................................................................. </w:t>
      </w:r>
      <w:r w:rsidRPr="00040A6E">
        <w:rPr>
          <w:rFonts w:cs="Arial"/>
          <w:color w:val="000000"/>
        </w:rPr>
        <w:t xml:space="preserve">3 </w:t>
      </w:r>
    </w:p>
    <w:p w:rsidR="00040A6E" w:rsidRP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1.1 </w:t>
      </w:r>
      <w:r w:rsidR="00904E89">
        <w:rPr>
          <w:rFonts w:cs="Arial"/>
          <w:color w:val="000000"/>
        </w:rPr>
        <w:t>Ataxia-telangiectasia...............................................................</w:t>
      </w:r>
      <w:r w:rsidR="0041258E">
        <w:rPr>
          <w:rFonts w:cs="Arial"/>
          <w:color w:val="000000"/>
        </w:rPr>
        <w:t>...............................</w:t>
      </w:r>
      <w:r w:rsidR="00904E89">
        <w:rPr>
          <w:rFonts w:cs="Arial"/>
          <w:color w:val="000000"/>
        </w:rPr>
        <w:t xml:space="preserve"> </w:t>
      </w:r>
      <w:r w:rsidRPr="00040A6E">
        <w:rPr>
          <w:rFonts w:cs="Arial"/>
          <w:color w:val="000000"/>
        </w:rPr>
        <w:t xml:space="preserve">3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1.2 </w:t>
      </w:r>
      <w:r w:rsidR="00904E89" w:rsidRPr="0041258E">
        <w:rPr>
          <w:rFonts w:cs="Arial"/>
          <w:color w:val="000000"/>
        </w:rPr>
        <w:t>Other related conditions ….</w:t>
      </w:r>
      <w:r w:rsidRPr="00040A6E">
        <w:rPr>
          <w:rFonts w:cs="Arial"/>
          <w:color w:val="000000"/>
        </w:rPr>
        <w:t xml:space="preserve"> ......................................................</w:t>
      </w:r>
      <w:r w:rsidR="0041258E" w:rsidRPr="0041258E">
        <w:rPr>
          <w:rFonts w:cs="Arial"/>
          <w:color w:val="000000"/>
        </w:rPr>
        <w:t>.............................</w:t>
      </w:r>
      <w:r w:rsidRPr="00040A6E">
        <w:rPr>
          <w:rFonts w:cs="Arial"/>
          <w:color w:val="000000"/>
        </w:rPr>
        <w:t xml:space="preserve"> 3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2. </w:t>
      </w:r>
      <w:r w:rsidR="00904E89" w:rsidRPr="00904E89">
        <w:rPr>
          <w:rFonts w:cs="Arial"/>
          <w:color w:val="000000"/>
        </w:rPr>
        <w:t>The International A-T Registry</w:t>
      </w:r>
      <w:r w:rsidR="00904E89">
        <w:rPr>
          <w:rFonts w:cs="Arial"/>
          <w:color w:val="000000"/>
        </w:rPr>
        <w:t xml:space="preserve"> </w:t>
      </w:r>
      <w:r w:rsidRPr="00040A6E">
        <w:rPr>
          <w:rFonts w:cs="Arial"/>
          <w:color w:val="000000"/>
        </w:rPr>
        <w:t>...................................................</w:t>
      </w:r>
      <w:r w:rsidR="0041258E">
        <w:rPr>
          <w:rFonts w:cs="Arial"/>
          <w:color w:val="000000"/>
        </w:rPr>
        <w:t>.............................. 4</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2.1 Patient </w:t>
      </w:r>
      <w:r w:rsidR="00904E89" w:rsidRPr="00040A6E">
        <w:rPr>
          <w:rFonts w:cs="Arial"/>
          <w:color w:val="000000"/>
        </w:rPr>
        <w:t>anonymity</w:t>
      </w:r>
      <w:r w:rsidR="00904E89">
        <w:rPr>
          <w:rFonts w:cs="Arial"/>
          <w:color w:val="000000"/>
        </w:rPr>
        <w:t>.....................................................................</w:t>
      </w:r>
      <w:r w:rsidR="0041258E">
        <w:rPr>
          <w:rFonts w:cs="Arial"/>
          <w:color w:val="000000"/>
        </w:rPr>
        <w:t>...............................</w:t>
      </w:r>
      <w:r w:rsidR="00904E89">
        <w:rPr>
          <w:rFonts w:cs="Arial"/>
          <w:color w:val="000000"/>
        </w:rPr>
        <w:t xml:space="preserve"> </w:t>
      </w:r>
      <w:r w:rsidR="0041258E">
        <w:rPr>
          <w:rFonts w:cs="Arial"/>
          <w:color w:val="000000"/>
        </w:rPr>
        <w:t>4</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41258E" w:rsidRDefault="0041258E" w:rsidP="00040A6E">
      <w:pPr>
        <w:autoSpaceDE w:val="0"/>
        <w:autoSpaceDN w:val="0"/>
        <w:adjustRightInd w:val="0"/>
        <w:spacing w:after="0" w:line="240" w:lineRule="auto"/>
        <w:rPr>
          <w:rFonts w:cs="Arial"/>
          <w:color w:val="000000"/>
        </w:rPr>
      </w:pPr>
      <w:r w:rsidRPr="00040A6E">
        <w:rPr>
          <w:rFonts w:cs="Arial"/>
          <w:color w:val="000000"/>
        </w:rPr>
        <w:t>2.</w:t>
      </w:r>
      <w:r>
        <w:rPr>
          <w:rFonts w:cs="Arial"/>
          <w:color w:val="000000"/>
        </w:rPr>
        <w:t>2</w:t>
      </w:r>
      <w:r w:rsidRPr="00040A6E">
        <w:rPr>
          <w:rFonts w:cs="Arial"/>
          <w:color w:val="000000"/>
        </w:rPr>
        <w:t xml:space="preserve"> Data protection Act ....................................................................</w:t>
      </w:r>
      <w:r>
        <w:rPr>
          <w:rFonts w:cs="Arial"/>
          <w:color w:val="000000"/>
        </w:rPr>
        <w:t>............................. 5</w:t>
      </w:r>
      <w:r w:rsidRPr="00040A6E">
        <w:rPr>
          <w:rFonts w:cs="Arial"/>
          <w:color w:val="000000"/>
        </w:rPr>
        <w:t xml:space="preserve"> </w:t>
      </w:r>
    </w:p>
    <w:p w:rsidR="0041258E" w:rsidRDefault="0041258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2.3 Data Collection ..........................................................................</w:t>
      </w:r>
      <w:r w:rsidR="0041258E">
        <w:rPr>
          <w:rFonts w:cs="Arial"/>
          <w:color w:val="000000"/>
        </w:rPr>
        <w:t>.............................</w:t>
      </w:r>
      <w:r w:rsidRPr="00040A6E">
        <w:rPr>
          <w:rFonts w:cs="Arial"/>
          <w:color w:val="000000"/>
        </w:rPr>
        <w:t xml:space="preserve"> </w:t>
      </w:r>
      <w:r w:rsidR="0041258E">
        <w:rPr>
          <w:rFonts w:cs="Arial"/>
          <w:color w:val="000000"/>
        </w:rPr>
        <w:t>5</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2.</w:t>
      </w:r>
      <w:r w:rsidR="0041258E">
        <w:rPr>
          <w:rFonts w:cs="Arial"/>
          <w:color w:val="000000"/>
        </w:rPr>
        <w:t>4</w:t>
      </w:r>
      <w:r w:rsidRPr="00040A6E">
        <w:rPr>
          <w:rFonts w:cs="Arial"/>
          <w:color w:val="000000"/>
        </w:rPr>
        <w:t xml:space="preserve"> Data Accuracy</w:t>
      </w:r>
      <w:r w:rsidR="0041258E">
        <w:rPr>
          <w:rFonts w:cs="Arial"/>
          <w:color w:val="000000"/>
        </w:rPr>
        <w:t>...................</w:t>
      </w:r>
      <w:r w:rsidR="0041258E" w:rsidRPr="00040A6E">
        <w:rPr>
          <w:rFonts w:cs="Arial"/>
          <w:color w:val="000000"/>
        </w:rPr>
        <w:t xml:space="preserve">...................................................................................... </w:t>
      </w:r>
      <w:r w:rsidR="0041258E">
        <w:rPr>
          <w:rFonts w:cs="Arial"/>
          <w:color w:val="000000"/>
        </w:rPr>
        <w:t>5</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2.</w:t>
      </w:r>
      <w:r w:rsidR="0041258E">
        <w:rPr>
          <w:rFonts w:cs="Arial"/>
          <w:color w:val="000000"/>
        </w:rPr>
        <w:t>5</w:t>
      </w:r>
      <w:r w:rsidRPr="00040A6E">
        <w:rPr>
          <w:rFonts w:cs="Arial"/>
          <w:color w:val="000000"/>
        </w:rPr>
        <w:t xml:space="preserve"> Access to Data ...........................................................................</w:t>
      </w:r>
      <w:r w:rsidR="0041258E">
        <w:rPr>
          <w:rFonts w:cs="Arial"/>
          <w:color w:val="000000"/>
        </w:rPr>
        <w:t>.............................</w:t>
      </w:r>
      <w:r>
        <w:rPr>
          <w:rFonts w:cs="Arial"/>
          <w:color w:val="000000"/>
        </w:rPr>
        <w:t>.</w:t>
      </w:r>
      <w:r w:rsidR="0041258E">
        <w:rPr>
          <w:rFonts w:cs="Arial"/>
          <w:color w:val="000000"/>
        </w:rPr>
        <w:t>5</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040A6E" w:rsidRPr="00040A6E" w:rsidRDefault="00040A6E" w:rsidP="00040A6E">
      <w:pPr>
        <w:autoSpaceDE w:val="0"/>
        <w:autoSpaceDN w:val="0"/>
        <w:adjustRightInd w:val="0"/>
        <w:spacing w:after="0" w:line="240" w:lineRule="auto"/>
        <w:rPr>
          <w:rFonts w:cs="Arial"/>
          <w:color w:val="000000"/>
        </w:rPr>
      </w:pPr>
      <w:r w:rsidRPr="00040A6E">
        <w:rPr>
          <w:rFonts w:cs="Arial"/>
          <w:color w:val="000000"/>
        </w:rPr>
        <w:t xml:space="preserve">3. </w:t>
      </w:r>
      <w:r w:rsidR="0041258E">
        <w:rPr>
          <w:rFonts w:cs="Arial"/>
          <w:color w:val="000000"/>
        </w:rPr>
        <w:t>Publication</w:t>
      </w:r>
      <w:r w:rsidRPr="00040A6E">
        <w:rPr>
          <w:rFonts w:cs="Arial"/>
          <w:color w:val="000000"/>
        </w:rPr>
        <w:t>....................................................................................</w:t>
      </w:r>
      <w:r w:rsidR="0041258E">
        <w:rPr>
          <w:rFonts w:cs="Arial"/>
          <w:color w:val="000000"/>
        </w:rPr>
        <w:t>..............................5</w:t>
      </w:r>
      <w:r w:rsidRPr="00040A6E">
        <w:rPr>
          <w:rFonts w:cs="Arial"/>
          <w:color w:val="000000"/>
        </w:rPr>
        <w:t xml:space="preserve"> </w:t>
      </w:r>
    </w:p>
    <w:p w:rsidR="00040A6E" w:rsidRDefault="00040A6E" w:rsidP="00040A6E">
      <w:pPr>
        <w:autoSpaceDE w:val="0"/>
        <w:autoSpaceDN w:val="0"/>
        <w:adjustRightInd w:val="0"/>
        <w:spacing w:after="0" w:line="240" w:lineRule="auto"/>
        <w:rPr>
          <w:rFonts w:cs="Arial"/>
          <w:color w:val="000000"/>
        </w:rPr>
      </w:pPr>
    </w:p>
    <w:p w:rsidR="00040A6E" w:rsidRPr="00904E89" w:rsidRDefault="0041258E" w:rsidP="00040A6E">
      <w:pPr>
        <w:rPr>
          <w:b/>
          <w:bCs/>
        </w:rPr>
      </w:pPr>
      <w:r>
        <w:rPr>
          <w:rFonts w:cs="Arial"/>
          <w:color w:val="000000"/>
        </w:rPr>
        <w:t>4</w:t>
      </w:r>
      <w:r w:rsidR="00040A6E" w:rsidRPr="00904E89">
        <w:rPr>
          <w:rFonts w:cs="Arial"/>
          <w:color w:val="000000"/>
        </w:rPr>
        <w:t>. Amendments ...............................................................................</w:t>
      </w:r>
      <w:r>
        <w:rPr>
          <w:rFonts w:cs="Arial"/>
          <w:color w:val="000000"/>
        </w:rPr>
        <w:t>..............................</w:t>
      </w:r>
      <w:r w:rsidR="00040A6E" w:rsidRPr="00904E89">
        <w:rPr>
          <w:rFonts w:cs="Arial"/>
          <w:color w:val="000000"/>
        </w:rPr>
        <w:t xml:space="preserve"> 5</w:t>
      </w:r>
    </w:p>
    <w:p w:rsidR="00040A6E" w:rsidRDefault="00040A6E">
      <w:pPr>
        <w:rPr>
          <w:rFonts w:cs="Arial"/>
          <w:b/>
          <w:bCs/>
          <w:color w:val="000000"/>
          <w:sz w:val="24"/>
          <w:szCs w:val="24"/>
        </w:rPr>
      </w:pPr>
      <w:r>
        <w:rPr>
          <w:b/>
          <w:bCs/>
        </w:rPr>
        <w:br w:type="page"/>
      </w:r>
    </w:p>
    <w:p w:rsidR="00040A6E" w:rsidRDefault="00040A6E" w:rsidP="00040A6E">
      <w:pPr>
        <w:pStyle w:val="Default"/>
        <w:rPr>
          <w:b/>
          <w:bCs/>
        </w:rPr>
      </w:pPr>
    </w:p>
    <w:p w:rsidR="00FD1522" w:rsidRDefault="00FD1522">
      <w:pPr>
        <w:rPr>
          <w:rFonts w:cs="Arial"/>
          <w:b/>
          <w:bCs/>
          <w:color w:val="000000"/>
        </w:rPr>
      </w:pPr>
    </w:p>
    <w:p w:rsidR="008B3131" w:rsidRPr="003834D7" w:rsidRDefault="008B3131" w:rsidP="008B3131">
      <w:pPr>
        <w:pStyle w:val="Default"/>
        <w:rPr>
          <w:sz w:val="22"/>
          <w:szCs w:val="22"/>
        </w:rPr>
      </w:pPr>
      <w:r w:rsidRPr="003834D7">
        <w:rPr>
          <w:b/>
          <w:bCs/>
          <w:sz w:val="22"/>
          <w:szCs w:val="22"/>
        </w:rPr>
        <w:t xml:space="preserve">1. Introduction </w:t>
      </w:r>
    </w:p>
    <w:p w:rsidR="008B3131" w:rsidRPr="003834D7" w:rsidRDefault="008B3131" w:rsidP="008B3131">
      <w:pPr>
        <w:pStyle w:val="Default"/>
        <w:rPr>
          <w:sz w:val="22"/>
          <w:szCs w:val="22"/>
        </w:rPr>
      </w:pPr>
      <w:r w:rsidRPr="003834D7">
        <w:rPr>
          <w:sz w:val="22"/>
          <w:szCs w:val="22"/>
        </w:rPr>
        <w:t xml:space="preserve">The purpose of this study is: </w:t>
      </w:r>
    </w:p>
    <w:p w:rsidR="008B3131" w:rsidRPr="003834D7" w:rsidRDefault="008B3131" w:rsidP="008B3131">
      <w:pPr>
        <w:pStyle w:val="Default"/>
        <w:numPr>
          <w:ilvl w:val="0"/>
          <w:numId w:val="8"/>
        </w:numPr>
        <w:spacing w:after="5"/>
        <w:rPr>
          <w:sz w:val="22"/>
          <w:szCs w:val="22"/>
        </w:rPr>
      </w:pPr>
      <w:r w:rsidRPr="003834D7">
        <w:rPr>
          <w:sz w:val="22"/>
          <w:szCs w:val="22"/>
        </w:rPr>
        <w:t>To establish an international registry for A-T and closely related conditions</w:t>
      </w:r>
    </w:p>
    <w:p w:rsidR="008B3131" w:rsidRPr="003834D7" w:rsidRDefault="008B3131" w:rsidP="008B3131">
      <w:pPr>
        <w:pStyle w:val="Default"/>
        <w:numPr>
          <w:ilvl w:val="0"/>
          <w:numId w:val="8"/>
        </w:numPr>
        <w:spacing w:after="5"/>
        <w:rPr>
          <w:sz w:val="22"/>
          <w:szCs w:val="22"/>
        </w:rPr>
      </w:pPr>
      <w:r w:rsidRPr="003834D7">
        <w:rPr>
          <w:sz w:val="22"/>
          <w:szCs w:val="22"/>
        </w:rPr>
        <w:t>To make data from the registry available to clinicians and researchers seeking to understand and develop new and improved treatments for A-T and related conditions</w:t>
      </w:r>
    </w:p>
    <w:p w:rsidR="008B3131" w:rsidRPr="003834D7" w:rsidRDefault="008B3131" w:rsidP="008B3131">
      <w:pPr>
        <w:pStyle w:val="Default"/>
        <w:rPr>
          <w:sz w:val="22"/>
          <w:szCs w:val="22"/>
        </w:rPr>
      </w:pPr>
    </w:p>
    <w:p w:rsidR="008B3131" w:rsidRPr="003834D7" w:rsidRDefault="008B3131" w:rsidP="008B3131">
      <w:pPr>
        <w:pStyle w:val="Default"/>
        <w:rPr>
          <w:sz w:val="22"/>
          <w:szCs w:val="22"/>
        </w:rPr>
      </w:pPr>
      <w:r w:rsidRPr="003834D7">
        <w:rPr>
          <w:sz w:val="22"/>
          <w:szCs w:val="22"/>
        </w:rPr>
        <w:t xml:space="preserve">The hypothesis underpinning the design of the A-T International Registry is that gathering detailed clinical data, both cross-sectional and longitudinal, on people with A-T and related conditions will improve our understanding of the conditions and </w:t>
      </w:r>
      <w:r w:rsidR="00D770FF" w:rsidRPr="003834D7">
        <w:rPr>
          <w:sz w:val="22"/>
          <w:szCs w:val="22"/>
        </w:rPr>
        <w:t>the phenotypes they produce</w:t>
      </w:r>
      <w:r w:rsidR="00E377A2" w:rsidRPr="003834D7">
        <w:rPr>
          <w:sz w:val="22"/>
          <w:szCs w:val="22"/>
        </w:rPr>
        <w:t xml:space="preserve"> and contribute to the production of natural histories of the conditions</w:t>
      </w:r>
      <w:r w:rsidR="00D770FF" w:rsidRPr="003834D7">
        <w:rPr>
          <w:sz w:val="22"/>
          <w:szCs w:val="22"/>
        </w:rPr>
        <w:t>. This in turn could lead to improvements in patient care and aid the development of new therapies and drugs.  It w</w:t>
      </w:r>
      <w:r w:rsidR="00E377A2" w:rsidRPr="003834D7">
        <w:rPr>
          <w:sz w:val="22"/>
          <w:szCs w:val="22"/>
        </w:rPr>
        <w:t>ill also facilitate the identification and recruitment</w:t>
      </w:r>
      <w:r w:rsidRPr="003834D7">
        <w:rPr>
          <w:sz w:val="22"/>
          <w:szCs w:val="22"/>
        </w:rPr>
        <w:t xml:space="preserve"> </w:t>
      </w:r>
      <w:r w:rsidR="00E377A2" w:rsidRPr="003834D7">
        <w:rPr>
          <w:sz w:val="22"/>
          <w:szCs w:val="22"/>
        </w:rPr>
        <w:t xml:space="preserve">of </w:t>
      </w:r>
      <w:proofErr w:type="gramStart"/>
      <w:r w:rsidR="00E377A2" w:rsidRPr="003834D7">
        <w:rPr>
          <w:sz w:val="22"/>
          <w:szCs w:val="22"/>
        </w:rPr>
        <w:t>participants</w:t>
      </w:r>
      <w:proofErr w:type="gramEnd"/>
      <w:r w:rsidR="00E377A2" w:rsidRPr="003834D7">
        <w:rPr>
          <w:sz w:val="22"/>
          <w:szCs w:val="22"/>
        </w:rPr>
        <w:t xml:space="preserve"> in future clinical trials.</w:t>
      </w:r>
    </w:p>
    <w:p w:rsidR="00E377A2" w:rsidRPr="003834D7" w:rsidRDefault="00E377A2" w:rsidP="008B3131">
      <w:pPr>
        <w:pStyle w:val="Default"/>
        <w:rPr>
          <w:sz w:val="22"/>
          <w:szCs w:val="22"/>
        </w:rPr>
      </w:pPr>
    </w:p>
    <w:p w:rsidR="008B3131" w:rsidRPr="003834D7" w:rsidRDefault="008B3131" w:rsidP="008B3131">
      <w:pPr>
        <w:pStyle w:val="Default"/>
        <w:rPr>
          <w:sz w:val="22"/>
          <w:szCs w:val="22"/>
        </w:rPr>
      </w:pPr>
      <w:r w:rsidRPr="003834D7">
        <w:rPr>
          <w:b/>
          <w:bCs/>
          <w:sz w:val="22"/>
          <w:szCs w:val="22"/>
        </w:rPr>
        <w:t xml:space="preserve">1.1 </w:t>
      </w:r>
      <w:r w:rsidR="00E377A2" w:rsidRPr="003834D7">
        <w:rPr>
          <w:b/>
          <w:bCs/>
          <w:sz w:val="22"/>
          <w:szCs w:val="22"/>
        </w:rPr>
        <w:t>Ataxia telangiectasia</w:t>
      </w:r>
      <w:r w:rsidRPr="003834D7">
        <w:rPr>
          <w:b/>
          <w:bCs/>
          <w:sz w:val="22"/>
          <w:szCs w:val="22"/>
        </w:rPr>
        <w:t xml:space="preserve"> </w:t>
      </w:r>
    </w:p>
    <w:p w:rsidR="00E377A2" w:rsidRPr="003834D7" w:rsidRDefault="00E377A2" w:rsidP="008B3131">
      <w:pPr>
        <w:pStyle w:val="Default"/>
        <w:rPr>
          <w:sz w:val="22"/>
          <w:szCs w:val="22"/>
        </w:rPr>
      </w:pPr>
      <w:r w:rsidRPr="003834D7">
        <w:rPr>
          <w:sz w:val="22"/>
          <w:szCs w:val="22"/>
        </w:rPr>
        <w:t>Ataxia-telangiectasia (A-T) is a complex multi-system autosomal recessive disorder caused by mutations in the ATM gene</w:t>
      </w:r>
      <w:r w:rsidR="00580BE7" w:rsidRPr="003834D7">
        <w:rPr>
          <w:sz w:val="22"/>
          <w:szCs w:val="22"/>
        </w:rPr>
        <w:t>, affecting around 1 in 300,</w:t>
      </w:r>
      <w:r w:rsidR="003834D7">
        <w:rPr>
          <w:sz w:val="22"/>
          <w:szCs w:val="22"/>
        </w:rPr>
        <w:t>0</w:t>
      </w:r>
      <w:r w:rsidR="00580BE7" w:rsidRPr="003834D7">
        <w:rPr>
          <w:sz w:val="22"/>
          <w:szCs w:val="22"/>
        </w:rPr>
        <w:t>00 births</w:t>
      </w:r>
      <w:r w:rsidRPr="003834D7">
        <w:rPr>
          <w:sz w:val="22"/>
          <w:szCs w:val="22"/>
        </w:rPr>
        <w:t xml:space="preserve">. </w:t>
      </w:r>
      <w:r w:rsidR="00C05D46" w:rsidRPr="003834D7">
        <w:rPr>
          <w:sz w:val="22"/>
          <w:szCs w:val="22"/>
        </w:rPr>
        <w:t>This gene codes for a protein kinase which is involved in many cellular processes triggered by stress such as DNA repai</w:t>
      </w:r>
      <w:r w:rsidR="00580BE7" w:rsidRPr="003834D7">
        <w:rPr>
          <w:sz w:val="22"/>
          <w:szCs w:val="22"/>
        </w:rPr>
        <w:t>r</w:t>
      </w:r>
      <w:r w:rsidR="00C05D46" w:rsidRPr="003834D7">
        <w:rPr>
          <w:sz w:val="22"/>
          <w:szCs w:val="22"/>
        </w:rPr>
        <w:t>, anti-oxidation and autophagy. A-T</w:t>
      </w:r>
      <w:r w:rsidRPr="003834D7">
        <w:rPr>
          <w:sz w:val="22"/>
          <w:szCs w:val="22"/>
        </w:rPr>
        <w:t xml:space="preserve"> is characterised by a </w:t>
      </w:r>
      <w:r w:rsidR="00C05D46" w:rsidRPr="003834D7">
        <w:rPr>
          <w:sz w:val="22"/>
          <w:szCs w:val="22"/>
        </w:rPr>
        <w:t>range</w:t>
      </w:r>
      <w:r w:rsidRPr="003834D7">
        <w:rPr>
          <w:sz w:val="22"/>
          <w:szCs w:val="22"/>
        </w:rPr>
        <w:t xml:space="preserve"> of clinical features including</w:t>
      </w:r>
      <w:r w:rsidR="00C05D46" w:rsidRPr="003834D7">
        <w:rPr>
          <w:sz w:val="22"/>
          <w:szCs w:val="22"/>
        </w:rPr>
        <w:t xml:space="preserve"> but not limited to</w:t>
      </w:r>
      <w:r w:rsidRPr="003834D7">
        <w:rPr>
          <w:sz w:val="22"/>
          <w:szCs w:val="22"/>
        </w:rPr>
        <w:t>:</w:t>
      </w:r>
    </w:p>
    <w:p w:rsidR="00E377A2" w:rsidRPr="003834D7" w:rsidRDefault="00E377A2" w:rsidP="00E377A2">
      <w:pPr>
        <w:pStyle w:val="Default"/>
        <w:numPr>
          <w:ilvl w:val="0"/>
          <w:numId w:val="9"/>
        </w:numPr>
        <w:rPr>
          <w:sz w:val="22"/>
          <w:szCs w:val="22"/>
        </w:rPr>
      </w:pPr>
      <w:r w:rsidRPr="003834D7">
        <w:rPr>
          <w:sz w:val="22"/>
          <w:szCs w:val="22"/>
        </w:rPr>
        <w:t>progressively worsening neurological manifestations (including ataxia, dystonia, tremor, oculomotor apraxia, dysarthria and dysphagia)</w:t>
      </w:r>
    </w:p>
    <w:p w:rsidR="00E377A2" w:rsidRPr="003834D7" w:rsidRDefault="00C05D46" w:rsidP="00E377A2">
      <w:pPr>
        <w:pStyle w:val="Default"/>
        <w:numPr>
          <w:ilvl w:val="0"/>
          <w:numId w:val="9"/>
        </w:numPr>
        <w:rPr>
          <w:sz w:val="22"/>
          <w:szCs w:val="22"/>
        </w:rPr>
      </w:pPr>
      <w:proofErr w:type="spellStart"/>
      <w:r w:rsidRPr="003834D7">
        <w:rPr>
          <w:sz w:val="22"/>
          <w:szCs w:val="22"/>
        </w:rPr>
        <w:t>oculo</w:t>
      </w:r>
      <w:proofErr w:type="spellEnd"/>
      <w:r w:rsidR="003834D7">
        <w:rPr>
          <w:sz w:val="22"/>
          <w:szCs w:val="22"/>
        </w:rPr>
        <w:t>-</w:t>
      </w:r>
      <w:r w:rsidR="00E377A2" w:rsidRPr="003834D7">
        <w:rPr>
          <w:sz w:val="22"/>
          <w:szCs w:val="22"/>
        </w:rPr>
        <w:t xml:space="preserve">cutaneous </w:t>
      </w:r>
      <w:proofErr w:type="spellStart"/>
      <w:r w:rsidR="00E377A2" w:rsidRPr="003834D7">
        <w:rPr>
          <w:sz w:val="22"/>
          <w:szCs w:val="22"/>
        </w:rPr>
        <w:t>telangiectasias</w:t>
      </w:r>
      <w:proofErr w:type="spellEnd"/>
    </w:p>
    <w:p w:rsidR="00C05D46" w:rsidRPr="003834D7" w:rsidRDefault="00E377A2" w:rsidP="00E377A2">
      <w:pPr>
        <w:pStyle w:val="Default"/>
        <w:numPr>
          <w:ilvl w:val="0"/>
          <w:numId w:val="9"/>
        </w:numPr>
        <w:rPr>
          <w:sz w:val="22"/>
          <w:szCs w:val="22"/>
        </w:rPr>
      </w:pPr>
      <w:r w:rsidRPr="003834D7">
        <w:rPr>
          <w:sz w:val="22"/>
          <w:szCs w:val="22"/>
        </w:rPr>
        <w:t>recurrent infections to the chest, ears and sinus</w:t>
      </w:r>
      <w:r w:rsidR="00C05D46" w:rsidRPr="003834D7">
        <w:rPr>
          <w:sz w:val="22"/>
          <w:szCs w:val="22"/>
        </w:rPr>
        <w:t>e</w:t>
      </w:r>
      <w:r w:rsidRPr="003834D7">
        <w:rPr>
          <w:sz w:val="22"/>
          <w:szCs w:val="22"/>
        </w:rPr>
        <w:t>s</w:t>
      </w:r>
    </w:p>
    <w:p w:rsidR="00C05D46" w:rsidRPr="003834D7" w:rsidRDefault="00C05D46" w:rsidP="00E377A2">
      <w:pPr>
        <w:pStyle w:val="Default"/>
        <w:numPr>
          <w:ilvl w:val="0"/>
          <w:numId w:val="9"/>
        </w:numPr>
        <w:rPr>
          <w:sz w:val="22"/>
          <w:szCs w:val="22"/>
        </w:rPr>
      </w:pPr>
      <w:r w:rsidRPr="003834D7">
        <w:rPr>
          <w:sz w:val="22"/>
          <w:szCs w:val="22"/>
        </w:rPr>
        <w:t>a wide range of immunological abnormalities, including deficiencies of immunoglobulin and reduced lymphocyte numbers</w:t>
      </w:r>
    </w:p>
    <w:p w:rsidR="00C05D46" w:rsidRPr="003834D7" w:rsidRDefault="00C05D46" w:rsidP="00E377A2">
      <w:pPr>
        <w:pStyle w:val="Default"/>
        <w:numPr>
          <w:ilvl w:val="0"/>
          <w:numId w:val="9"/>
        </w:numPr>
        <w:rPr>
          <w:sz w:val="22"/>
          <w:szCs w:val="22"/>
        </w:rPr>
      </w:pPr>
      <w:r w:rsidRPr="003834D7">
        <w:rPr>
          <w:sz w:val="22"/>
          <w:szCs w:val="22"/>
        </w:rPr>
        <w:t>An increased risk of developing malignancies (22% in the UK)</w:t>
      </w:r>
    </w:p>
    <w:p w:rsidR="00C05D46" w:rsidRPr="003834D7" w:rsidRDefault="00C05D46" w:rsidP="00E377A2">
      <w:pPr>
        <w:pStyle w:val="Default"/>
        <w:numPr>
          <w:ilvl w:val="0"/>
          <w:numId w:val="9"/>
        </w:numPr>
        <w:rPr>
          <w:sz w:val="22"/>
          <w:szCs w:val="22"/>
        </w:rPr>
      </w:pPr>
      <w:r w:rsidRPr="003834D7">
        <w:rPr>
          <w:sz w:val="22"/>
          <w:szCs w:val="22"/>
        </w:rPr>
        <w:t xml:space="preserve">Increased </w:t>
      </w:r>
      <w:proofErr w:type="spellStart"/>
      <w:r w:rsidRPr="003834D7">
        <w:rPr>
          <w:sz w:val="22"/>
          <w:szCs w:val="22"/>
        </w:rPr>
        <w:t>radiosensitivity</w:t>
      </w:r>
      <w:proofErr w:type="spellEnd"/>
      <w:r w:rsidRPr="003834D7">
        <w:rPr>
          <w:sz w:val="22"/>
          <w:szCs w:val="22"/>
        </w:rPr>
        <w:t xml:space="preserve"> to therapeutic doses of ionizing radiation</w:t>
      </w:r>
      <w:r w:rsidR="00E377A2" w:rsidRPr="003834D7">
        <w:rPr>
          <w:sz w:val="22"/>
          <w:szCs w:val="22"/>
        </w:rPr>
        <w:t xml:space="preserve">, </w:t>
      </w:r>
    </w:p>
    <w:p w:rsidR="00C05D46" w:rsidRPr="003834D7" w:rsidRDefault="00C05D46" w:rsidP="00C05D46">
      <w:pPr>
        <w:pStyle w:val="Default"/>
        <w:ind w:left="360"/>
        <w:rPr>
          <w:sz w:val="22"/>
          <w:szCs w:val="22"/>
        </w:rPr>
      </w:pPr>
    </w:p>
    <w:p w:rsidR="00580BE7" w:rsidRPr="003834D7" w:rsidRDefault="008B3131" w:rsidP="00580BE7">
      <w:pPr>
        <w:pStyle w:val="Default"/>
        <w:rPr>
          <w:sz w:val="22"/>
          <w:szCs w:val="22"/>
        </w:rPr>
      </w:pPr>
      <w:r w:rsidRPr="003834D7">
        <w:rPr>
          <w:sz w:val="22"/>
          <w:szCs w:val="22"/>
        </w:rPr>
        <w:t>Despite discovery of the gene in 19</w:t>
      </w:r>
      <w:r w:rsidR="00C05D46" w:rsidRPr="003834D7">
        <w:rPr>
          <w:sz w:val="22"/>
          <w:szCs w:val="22"/>
        </w:rPr>
        <w:t>95</w:t>
      </w:r>
      <w:r w:rsidRPr="003834D7">
        <w:rPr>
          <w:sz w:val="22"/>
          <w:szCs w:val="22"/>
        </w:rPr>
        <w:t xml:space="preserve"> and much research aimed at </w:t>
      </w:r>
      <w:r w:rsidR="00C05D46" w:rsidRPr="003834D7">
        <w:rPr>
          <w:sz w:val="22"/>
          <w:szCs w:val="22"/>
        </w:rPr>
        <w:t>understanding the role of the protein and how its lack leads to the symptoms of AT</w:t>
      </w:r>
      <w:r w:rsidRPr="003834D7">
        <w:rPr>
          <w:sz w:val="22"/>
          <w:szCs w:val="22"/>
        </w:rPr>
        <w:t xml:space="preserve">, </w:t>
      </w:r>
      <w:r w:rsidR="00C05D46" w:rsidRPr="003834D7">
        <w:rPr>
          <w:sz w:val="22"/>
          <w:szCs w:val="22"/>
        </w:rPr>
        <w:t>much is still unknown or poorly understood. Treatment tends to focus on the management of symptoms</w:t>
      </w:r>
      <w:r w:rsidR="00580BE7" w:rsidRPr="003834D7">
        <w:rPr>
          <w:sz w:val="22"/>
          <w:szCs w:val="22"/>
        </w:rPr>
        <w:t>,</w:t>
      </w:r>
      <w:r w:rsidR="00C05D46" w:rsidRPr="003834D7">
        <w:rPr>
          <w:sz w:val="22"/>
          <w:szCs w:val="22"/>
        </w:rPr>
        <w:t xml:space="preserve"> secondary infections</w:t>
      </w:r>
      <w:r w:rsidR="00580BE7" w:rsidRPr="003834D7">
        <w:rPr>
          <w:sz w:val="22"/>
          <w:szCs w:val="22"/>
        </w:rPr>
        <w:t xml:space="preserve"> and downstream effects such as lung disease </w:t>
      </w:r>
      <w:r w:rsidRPr="003834D7">
        <w:rPr>
          <w:sz w:val="22"/>
          <w:szCs w:val="22"/>
        </w:rPr>
        <w:t xml:space="preserve">and </w:t>
      </w:r>
      <w:r w:rsidR="00580BE7" w:rsidRPr="003834D7">
        <w:rPr>
          <w:sz w:val="22"/>
          <w:szCs w:val="22"/>
        </w:rPr>
        <w:t>where these occur, malignancies.</w:t>
      </w:r>
    </w:p>
    <w:p w:rsidR="00580BE7" w:rsidRPr="003834D7" w:rsidRDefault="00580BE7" w:rsidP="00C05D46">
      <w:pPr>
        <w:pStyle w:val="Default"/>
        <w:ind w:left="360"/>
        <w:rPr>
          <w:sz w:val="22"/>
          <w:szCs w:val="22"/>
        </w:rPr>
      </w:pPr>
    </w:p>
    <w:p w:rsidR="008B3131" w:rsidRPr="003834D7" w:rsidRDefault="008B3131" w:rsidP="00580BE7">
      <w:pPr>
        <w:pStyle w:val="Default"/>
        <w:rPr>
          <w:sz w:val="22"/>
          <w:szCs w:val="22"/>
        </w:rPr>
      </w:pPr>
      <w:r w:rsidRPr="003834D7">
        <w:rPr>
          <w:sz w:val="22"/>
          <w:szCs w:val="22"/>
        </w:rPr>
        <w:t xml:space="preserve">The complex multisystem nature of the disease coupled with its life shortening effects </w:t>
      </w:r>
      <w:r w:rsidR="00580BE7" w:rsidRPr="003834D7">
        <w:rPr>
          <w:sz w:val="22"/>
          <w:szCs w:val="22"/>
        </w:rPr>
        <w:t>calls for an expert multi-disciplinary approach to treatment. This has led to the development of specialist centres in a number of countries. Nevertheless the rarity of the condition</w:t>
      </w:r>
      <w:r w:rsidR="00050F4A" w:rsidRPr="003834D7">
        <w:rPr>
          <w:sz w:val="22"/>
          <w:szCs w:val="22"/>
        </w:rPr>
        <w:t xml:space="preserve"> </w:t>
      </w:r>
      <w:r w:rsidR="00580BE7" w:rsidRPr="003834D7">
        <w:rPr>
          <w:sz w:val="22"/>
          <w:szCs w:val="22"/>
        </w:rPr>
        <w:t>means that in many countries this has not happened and many people are treated by clinicians with a very limited ex</w:t>
      </w:r>
      <w:r w:rsidR="00050F4A" w:rsidRPr="003834D7">
        <w:rPr>
          <w:sz w:val="22"/>
          <w:szCs w:val="22"/>
        </w:rPr>
        <w:t xml:space="preserve">perience of the condition. This, along with the heterogeneity of the phenotype makes it difficult to bring together large enough cohorts to build up an evidence-based understanding of the condition. Hence the urgent need for this registry. </w:t>
      </w:r>
    </w:p>
    <w:p w:rsidR="00E377A2" w:rsidRPr="003834D7" w:rsidRDefault="00E377A2" w:rsidP="008B3131">
      <w:pPr>
        <w:pStyle w:val="Default"/>
        <w:rPr>
          <w:sz w:val="22"/>
          <w:szCs w:val="22"/>
        </w:rPr>
      </w:pPr>
    </w:p>
    <w:p w:rsidR="008B3131" w:rsidRPr="003834D7" w:rsidRDefault="008B3131" w:rsidP="008B3131">
      <w:pPr>
        <w:pStyle w:val="Default"/>
        <w:rPr>
          <w:sz w:val="22"/>
          <w:szCs w:val="22"/>
        </w:rPr>
      </w:pPr>
      <w:r w:rsidRPr="003834D7">
        <w:rPr>
          <w:b/>
          <w:bCs/>
          <w:sz w:val="22"/>
          <w:szCs w:val="22"/>
        </w:rPr>
        <w:t xml:space="preserve">1.2 </w:t>
      </w:r>
      <w:r w:rsidR="00050F4A" w:rsidRPr="003834D7">
        <w:rPr>
          <w:b/>
          <w:bCs/>
          <w:sz w:val="22"/>
          <w:szCs w:val="22"/>
        </w:rPr>
        <w:t>Other related conditions</w:t>
      </w:r>
    </w:p>
    <w:p w:rsidR="008B3131" w:rsidRPr="003834D7" w:rsidRDefault="00050F4A" w:rsidP="008B3131">
      <w:pPr>
        <w:pStyle w:val="Default"/>
        <w:rPr>
          <w:sz w:val="22"/>
          <w:szCs w:val="22"/>
        </w:rPr>
      </w:pPr>
      <w:r w:rsidRPr="003834D7">
        <w:rPr>
          <w:sz w:val="22"/>
          <w:szCs w:val="22"/>
        </w:rPr>
        <w:t>There are a number of other conditions caused by the lack of proteins which operate in similar cellular pathways to the ATM protein which give rise to conditions which share different aspects of the A-T phenotype. These are all rarer than A-T, which is why they are included in this registry rather than having one of their own.</w:t>
      </w:r>
    </w:p>
    <w:p w:rsidR="00050F4A" w:rsidRPr="003834D7" w:rsidRDefault="00050F4A" w:rsidP="008B3131">
      <w:pPr>
        <w:pStyle w:val="Default"/>
        <w:rPr>
          <w:sz w:val="22"/>
          <w:szCs w:val="22"/>
        </w:rPr>
      </w:pPr>
    </w:p>
    <w:p w:rsidR="00050F4A" w:rsidRPr="003834D7" w:rsidRDefault="00050F4A" w:rsidP="008B3131">
      <w:pPr>
        <w:pStyle w:val="Default"/>
        <w:rPr>
          <w:sz w:val="22"/>
          <w:szCs w:val="22"/>
        </w:rPr>
      </w:pPr>
      <w:r w:rsidRPr="003834D7">
        <w:rPr>
          <w:sz w:val="22"/>
          <w:szCs w:val="22"/>
        </w:rPr>
        <w:t>These conditions are:</w:t>
      </w:r>
    </w:p>
    <w:p w:rsidR="00155EDB" w:rsidRPr="003834D7" w:rsidRDefault="00155EDB" w:rsidP="008B3131">
      <w:pPr>
        <w:pStyle w:val="Default"/>
        <w:rPr>
          <w:sz w:val="22"/>
          <w:szCs w:val="22"/>
        </w:rPr>
      </w:pPr>
    </w:p>
    <w:p w:rsidR="00155EDB" w:rsidRPr="003834D7" w:rsidRDefault="00155EDB" w:rsidP="00155EDB">
      <w:pPr>
        <w:pStyle w:val="Default"/>
        <w:numPr>
          <w:ilvl w:val="0"/>
          <w:numId w:val="9"/>
        </w:numPr>
        <w:rPr>
          <w:sz w:val="22"/>
          <w:szCs w:val="22"/>
        </w:rPr>
      </w:pPr>
      <w:r w:rsidRPr="003834D7">
        <w:rPr>
          <w:sz w:val="22"/>
          <w:szCs w:val="22"/>
        </w:rPr>
        <w:lastRenderedPageBreak/>
        <w:t>ATLD (A-T-like disorder), caused by mutations to the MRE11 gene. This produces symptoms very similar to those of A-T, especially neurological symptoms. Progression of symptoms seems to be somewhat slower than in classic A-T.</w:t>
      </w:r>
    </w:p>
    <w:p w:rsidR="00155EDB" w:rsidRPr="003834D7" w:rsidRDefault="00155EDB" w:rsidP="00155EDB">
      <w:pPr>
        <w:pStyle w:val="Default"/>
        <w:ind w:left="720"/>
        <w:rPr>
          <w:sz w:val="22"/>
          <w:szCs w:val="22"/>
        </w:rPr>
      </w:pPr>
    </w:p>
    <w:p w:rsidR="00155EDB" w:rsidRPr="003834D7" w:rsidRDefault="00155EDB" w:rsidP="00155EDB">
      <w:pPr>
        <w:pStyle w:val="Default"/>
        <w:numPr>
          <w:ilvl w:val="0"/>
          <w:numId w:val="9"/>
        </w:numPr>
        <w:rPr>
          <w:sz w:val="22"/>
          <w:szCs w:val="22"/>
        </w:rPr>
      </w:pPr>
      <w:r w:rsidRPr="003834D7">
        <w:rPr>
          <w:sz w:val="22"/>
          <w:szCs w:val="22"/>
        </w:rPr>
        <w:t xml:space="preserve">AOA1 (ataxia-oculomotor apraxia type 1), caused by mutations to the APTX gene which produces a protein called </w:t>
      </w:r>
      <w:proofErr w:type="spellStart"/>
      <w:r w:rsidRPr="003834D7">
        <w:rPr>
          <w:sz w:val="22"/>
          <w:szCs w:val="22"/>
        </w:rPr>
        <w:t>Aprataxin</w:t>
      </w:r>
      <w:proofErr w:type="spellEnd"/>
      <w:r w:rsidRPr="003834D7">
        <w:rPr>
          <w:sz w:val="22"/>
          <w:szCs w:val="22"/>
        </w:rPr>
        <w:t xml:space="preserve">. Like A-T, it usually develops in childhood, and causes a similar range of movement and visual problems. However there are usually no associated immunological problems and </w:t>
      </w:r>
      <w:proofErr w:type="spellStart"/>
      <w:r w:rsidRPr="003834D7">
        <w:rPr>
          <w:sz w:val="22"/>
          <w:szCs w:val="22"/>
        </w:rPr>
        <w:t>telangiectasias</w:t>
      </w:r>
      <w:proofErr w:type="spellEnd"/>
      <w:r w:rsidRPr="003834D7">
        <w:rPr>
          <w:sz w:val="22"/>
          <w:szCs w:val="22"/>
        </w:rPr>
        <w:t xml:space="preserve"> do not appear to develop.</w:t>
      </w:r>
    </w:p>
    <w:p w:rsidR="00155EDB" w:rsidRPr="003834D7" w:rsidRDefault="00155EDB" w:rsidP="00155EDB">
      <w:pPr>
        <w:pStyle w:val="Default"/>
        <w:rPr>
          <w:sz w:val="22"/>
          <w:szCs w:val="22"/>
        </w:rPr>
      </w:pPr>
    </w:p>
    <w:p w:rsidR="00155EDB" w:rsidRPr="003834D7" w:rsidRDefault="00155EDB" w:rsidP="00155EDB">
      <w:pPr>
        <w:pStyle w:val="Default"/>
        <w:numPr>
          <w:ilvl w:val="0"/>
          <w:numId w:val="9"/>
        </w:numPr>
        <w:rPr>
          <w:sz w:val="22"/>
          <w:szCs w:val="22"/>
        </w:rPr>
      </w:pPr>
      <w:r w:rsidRPr="003834D7">
        <w:rPr>
          <w:sz w:val="22"/>
          <w:szCs w:val="22"/>
        </w:rPr>
        <w:t>AOA2 (ataxia-oculomotor apraxia type 2) has a range of symptoms similar to those of AOA1, however it tends to develop later, typically in late adolescence or early teens. It is the result of mutations on yet another gene, the SETX gene. AOA2 seems to be a little more common than AOA1.</w:t>
      </w:r>
    </w:p>
    <w:p w:rsidR="00155EDB" w:rsidRPr="003834D7" w:rsidRDefault="00155EDB" w:rsidP="008B3131">
      <w:pPr>
        <w:pStyle w:val="Default"/>
        <w:rPr>
          <w:sz w:val="22"/>
          <w:szCs w:val="22"/>
        </w:rPr>
      </w:pPr>
    </w:p>
    <w:p w:rsidR="00155EDB" w:rsidRPr="003834D7" w:rsidRDefault="00155EDB" w:rsidP="00155EDB">
      <w:pPr>
        <w:pStyle w:val="Default"/>
        <w:numPr>
          <w:ilvl w:val="0"/>
          <w:numId w:val="9"/>
        </w:numPr>
        <w:rPr>
          <w:sz w:val="22"/>
          <w:szCs w:val="22"/>
        </w:rPr>
      </w:pPr>
      <w:r w:rsidRPr="003834D7">
        <w:rPr>
          <w:sz w:val="22"/>
          <w:szCs w:val="22"/>
        </w:rPr>
        <w:t xml:space="preserve">Nijmegen </w:t>
      </w:r>
      <w:r w:rsidR="004C10E1" w:rsidRPr="003834D7">
        <w:rPr>
          <w:sz w:val="22"/>
          <w:szCs w:val="22"/>
        </w:rPr>
        <w:t>b</w:t>
      </w:r>
      <w:r w:rsidRPr="003834D7">
        <w:rPr>
          <w:sz w:val="22"/>
          <w:szCs w:val="22"/>
        </w:rPr>
        <w:t xml:space="preserve">reakage </w:t>
      </w:r>
      <w:r w:rsidR="004C10E1" w:rsidRPr="003834D7">
        <w:rPr>
          <w:sz w:val="22"/>
          <w:szCs w:val="22"/>
        </w:rPr>
        <w:t>s</w:t>
      </w:r>
      <w:r w:rsidRPr="003834D7">
        <w:rPr>
          <w:sz w:val="22"/>
          <w:szCs w:val="22"/>
        </w:rPr>
        <w:t xml:space="preserve">ymptom (NBS) caused by mutations to the NBS protein. NBS produces microcephaly </w:t>
      </w:r>
      <w:r w:rsidR="00840F29" w:rsidRPr="003834D7">
        <w:rPr>
          <w:sz w:val="22"/>
          <w:szCs w:val="22"/>
        </w:rPr>
        <w:t xml:space="preserve">with </w:t>
      </w:r>
      <w:r w:rsidRPr="003834D7">
        <w:rPr>
          <w:sz w:val="22"/>
          <w:szCs w:val="22"/>
        </w:rPr>
        <w:t>distinctive facial features</w:t>
      </w:r>
      <w:r w:rsidR="00840F29" w:rsidRPr="003834D7">
        <w:rPr>
          <w:sz w:val="22"/>
          <w:szCs w:val="22"/>
        </w:rPr>
        <w:t xml:space="preserve"> and mild to moderate intellectual disability. In common with A-T it also gives immunological deficits leading to</w:t>
      </w:r>
      <w:r w:rsidRPr="003834D7">
        <w:rPr>
          <w:sz w:val="22"/>
          <w:szCs w:val="22"/>
        </w:rPr>
        <w:t xml:space="preserve"> recurrent respiratory tract infections, </w:t>
      </w:r>
      <w:r w:rsidR="00840F29" w:rsidRPr="003834D7">
        <w:rPr>
          <w:sz w:val="22"/>
          <w:szCs w:val="22"/>
        </w:rPr>
        <w:t xml:space="preserve">as well as </w:t>
      </w:r>
      <w:r w:rsidRPr="003834D7">
        <w:rPr>
          <w:sz w:val="22"/>
          <w:szCs w:val="22"/>
        </w:rPr>
        <w:t>an increased risk of cancer</w:t>
      </w:r>
      <w:r w:rsidR="00840F29" w:rsidRPr="003834D7">
        <w:rPr>
          <w:sz w:val="22"/>
          <w:szCs w:val="22"/>
        </w:rPr>
        <w:t>.</w:t>
      </w:r>
    </w:p>
    <w:p w:rsidR="00754FC5" w:rsidRPr="003834D7" w:rsidRDefault="00754FC5" w:rsidP="00754FC5">
      <w:pPr>
        <w:pStyle w:val="Default"/>
        <w:ind w:left="720"/>
        <w:rPr>
          <w:sz w:val="22"/>
          <w:szCs w:val="22"/>
        </w:rPr>
      </w:pPr>
    </w:p>
    <w:p w:rsidR="00050F4A" w:rsidRPr="003834D7" w:rsidRDefault="004C10E1" w:rsidP="004C10E1">
      <w:pPr>
        <w:pStyle w:val="Default"/>
        <w:numPr>
          <w:ilvl w:val="0"/>
          <w:numId w:val="9"/>
        </w:numPr>
        <w:rPr>
          <w:sz w:val="22"/>
          <w:szCs w:val="22"/>
        </w:rPr>
      </w:pPr>
      <w:r w:rsidRPr="003834D7">
        <w:rPr>
          <w:sz w:val="22"/>
          <w:szCs w:val="22"/>
        </w:rPr>
        <w:t>Nijmegen breakage symptom-like disorder (NBSLD). Only a handful of patients have been diagnosed with this condition</w:t>
      </w:r>
      <w:r w:rsidR="00754FC5" w:rsidRPr="003834D7">
        <w:rPr>
          <w:sz w:val="22"/>
          <w:szCs w:val="22"/>
        </w:rPr>
        <w:t>,</w:t>
      </w:r>
      <w:r w:rsidRPr="003834D7">
        <w:rPr>
          <w:sz w:val="22"/>
          <w:szCs w:val="22"/>
        </w:rPr>
        <w:t xml:space="preserve"> which is due</w:t>
      </w:r>
      <w:r w:rsidR="00754FC5" w:rsidRPr="003834D7">
        <w:rPr>
          <w:sz w:val="22"/>
          <w:szCs w:val="22"/>
        </w:rPr>
        <w:t xml:space="preserve"> to mutations in the RAD50 gene, so there is little certainty about the phenotype. However it appears to produce mild microcephaly and altered facial features with mild ataxia and radio</w:t>
      </w:r>
      <w:r w:rsidR="003834D7" w:rsidRPr="003834D7">
        <w:rPr>
          <w:sz w:val="22"/>
          <w:szCs w:val="22"/>
        </w:rPr>
        <w:t>-</w:t>
      </w:r>
      <w:r w:rsidR="00754FC5" w:rsidRPr="003834D7">
        <w:rPr>
          <w:sz w:val="22"/>
          <w:szCs w:val="22"/>
        </w:rPr>
        <w:t>sensitivity, but no evidence of immunodeficiency. Cancer risk is unknown.</w:t>
      </w:r>
    </w:p>
    <w:p w:rsidR="00754FC5" w:rsidRPr="003834D7" w:rsidRDefault="00754FC5" w:rsidP="00754FC5">
      <w:pPr>
        <w:pStyle w:val="ListParagraph"/>
      </w:pPr>
    </w:p>
    <w:p w:rsidR="008B3131" w:rsidRDefault="008B3131" w:rsidP="008B3131">
      <w:pPr>
        <w:pStyle w:val="Default"/>
        <w:rPr>
          <w:sz w:val="22"/>
          <w:szCs w:val="22"/>
        </w:rPr>
      </w:pPr>
      <w:r>
        <w:rPr>
          <w:b/>
          <w:bCs/>
          <w:sz w:val="22"/>
          <w:szCs w:val="22"/>
        </w:rPr>
        <w:t xml:space="preserve">2. The </w:t>
      </w:r>
      <w:r w:rsidR="00754FC5">
        <w:rPr>
          <w:b/>
          <w:bCs/>
          <w:sz w:val="22"/>
          <w:szCs w:val="22"/>
        </w:rPr>
        <w:t>International</w:t>
      </w:r>
      <w:r>
        <w:rPr>
          <w:b/>
          <w:bCs/>
          <w:sz w:val="22"/>
          <w:szCs w:val="22"/>
        </w:rPr>
        <w:t xml:space="preserve"> </w:t>
      </w:r>
      <w:r w:rsidR="00904E89">
        <w:rPr>
          <w:b/>
          <w:bCs/>
          <w:sz w:val="22"/>
          <w:szCs w:val="22"/>
        </w:rPr>
        <w:t xml:space="preserve">A-T </w:t>
      </w:r>
      <w:r>
        <w:rPr>
          <w:b/>
          <w:bCs/>
          <w:sz w:val="22"/>
          <w:szCs w:val="22"/>
        </w:rPr>
        <w:t xml:space="preserve">Registry </w:t>
      </w:r>
    </w:p>
    <w:p w:rsidR="00693F54" w:rsidRDefault="008B3131" w:rsidP="008B3131">
      <w:pPr>
        <w:pStyle w:val="Default"/>
        <w:rPr>
          <w:sz w:val="22"/>
          <w:szCs w:val="22"/>
        </w:rPr>
      </w:pPr>
      <w:r>
        <w:rPr>
          <w:sz w:val="22"/>
          <w:szCs w:val="22"/>
        </w:rPr>
        <w:t xml:space="preserve">The database has been designed to </w:t>
      </w:r>
      <w:r w:rsidR="00693F54">
        <w:rPr>
          <w:sz w:val="22"/>
          <w:szCs w:val="22"/>
        </w:rPr>
        <w:t xml:space="preserve">gather and </w:t>
      </w:r>
      <w:r>
        <w:rPr>
          <w:sz w:val="22"/>
          <w:szCs w:val="22"/>
        </w:rPr>
        <w:t xml:space="preserve">collate information about </w:t>
      </w:r>
      <w:r w:rsidR="00693F54">
        <w:rPr>
          <w:sz w:val="22"/>
          <w:szCs w:val="22"/>
        </w:rPr>
        <w:t xml:space="preserve">the different aspects of A-T from doctors and clinical centres across Europe and the rest of the world. </w:t>
      </w:r>
    </w:p>
    <w:p w:rsidR="00693F54" w:rsidRDefault="00693F54" w:rsidP="008B3131">
      <w:pPr>
        <w:pStyle w:val="Default"/>
        <w:rPr>
          <w:sz w:val="22"/>
          <w:szCs w:val="22"/>
        </w:rPr>
      </w:pPr>
    </w:p>
    <w:p w:rsidR="008B3131" w:rsidRDefault="008B3131" w:rsidP="008B3131">
      <w:pPr>
        <w:pStyle w:val="Default"/>
        <w:rPr>
          <w:sz w:val="22"/>
          <w:szCs w:val="22"/>
        </w:rPr>
      </w:pPr>
      <w:r>
        <w:rPr>
          <w:sz w:val="22"/>
          <w:szCs w:val="22"/>
        </w:rPr>
        <w:t>I</w:t>
      </w:r>
      <w:r w:rsidR="00693F54">
        <w:rPr>
          <w:sz w:val="22"/>
          <w:szCs w:val="22"/>
        </w:rPr>
        <w:t>t is our intention that i</w:t>
      </w:r>
      <w:r>
        <w:rPr>
          <w:sz w:val="22"/>
          <w:szCs w:val="22"/>
        </w:rPr>
        <w:t xml:space="preserve">nformation on the UK CF Registry can also be compared with information collected by </w:t>
      </w:r>
      <w:r w:rsidRPr="003834D7">
        <w:rPr>
          <w:sz w:val="22"/>
          <w:szCs w:val="22"/>
        </w:rPr>
        <w:t>the</w:t>
      </w:r>
      <w:r w:rsidR="00693F54" w:rsidRPr="003834D7">
        <w:rPr>
          <w:sz w:val="22"/>
          <w:szCs w:val="22"/>
        </w:rPr>
        <w:t xml:space="preserve"> A-T Families Global Platform</w:t>
      </w:r>
      <w:r w:rsidR="00516075">
        <w:rPr>
          <w:sz w:val="22"/>
          <w:szCs w:val="22"/>
        </w:rPr>
        <w:t xml:space="preserve"> and by other registries or database collecting relevant data, such as the registry of the European Society of </w:t>
      </w:r>
      <w:proofErr w:type="spellStart"/>
      <w:r w:rsidR="00516075">
        <w:rPr>
          <w:sz w:val="22"/>
          <w:szCs w:val="22"/>
        </w:rPr>
        <w:t>Immunodeficiencies</w:t>
      </w:r>
      <w:proofErr w:type="spellEnd"/>
      <w:r w:rsidR="00516075">
        <w:rPr>
          <w:sz w:val="22"/>
          <w:szCs w:val="22"/>
        </w:rPr>
        <w:t xml:space="preserve"> (ESID)</w:t>
      </w:r>
      <w:r>
        <w:rPr>
          <w:sz w:val="22"/>
          <w:szCs w:val="22"/>
        </w:rPr>
        <w:t xml:space="preserve">. </w:t>
      </w:r>
    </w:p>
    <w:p w:rsidR="00693F54" w:rsidRDefault="00693F54" w:rsidP="008B3131">
      <w:pPr>
        <w:pStyle w:val="Default"/>
        <w:rPr>
          <w:sz w:val="22"/>
          <w:szCs w:val="22"/>
        </w:rPr>
      </w:pPr>
    </w:p>
    <w:p w:rsidR="008B3131" w:rsidRDefault="008B3131" w:rsidP="008B3131">
      <w:pPr>
        <w:pStyle w:val="Default"/>
        <w:rPr>
          <w:sz w:val="22"/>
          <w:szCs w:val="22"/>
        </w:rPr>
      </w:pPr>
      <w:r>
        <w:rPr>
          <w:sz w:val="22"/>
          <w:szCs w:val="22"/>
        </w:rPr>
        <w:t>Local staff will enter data from their patients</w:t>
      </w:r>
      <w:r w:rsidR="00904E89">
        <w:rPr>
          <w:sz w:val="22"/>
          <w:szCs w:val="22"/>
        </w:rPr>
        <w:t>.  They</w:t>
      </w:r>
      <w:r>
        <w:rPr>
          <w:sz w:val="22"/>
          <w:szCs w:val="22"/>
        </w:rPr>
        <w:t xml:space="preserve"> are </w:t>
      </w:r>
      <w:r w:rsidR="00952989">
        <w:rPr>
          <w:sz w:val="22"/>
          <w:szCs w:val="22"/>
        </w:rPr>
        <w:t>able to see all the data from their own patients and are</w:t>
      </w:r>
      <w:r>
        <w:rPr>
          <w:sz w:val="22"/>
          <w:szCs w:val="22"/>
        </w:rPr>
        <w:t xml:space="preserve"> able to generate local reports</w:t>
      </w:r>
      <w:r w:rsidR="00904E89">
        <w:rPr>
          <w:sz w:val="22"/>
          <w:szCs w:val="22"/>
        </w:rPr>
        <w:t>.</w:t>
      </w:r>
      <w:r>
        <w:rPr>
          <w:sz w:val="22"/>
          <w:szCs w:val="22"/>
        </w:rPr>
        <w:t xml:space="preserve"> </w:t>
      </w:r>
    </w:p>
    <w:p w:rsidR="008B3131" w:rsidRDefault="008B3131" w:rsidP="008B3131">
      <w:pPr>
        <w:pStyle w:val="Default"/>
        <w:rPr>
          <w:sz w:val="22"/>
          <w:szCs w:val="22"/>
        </w:rPr>
      </w:pPr>
    </w:p>
    <w:p w:rsidR="008B3131" w:rsidRDefault="00952989" w:rsidP="008B3131">
      <w:pPr>
        <w:pStyle w:val="Default"/>
        <w:rPr>
          <w:sz w:val="22"/>
          <w:szCs w:val="22"/>
        </w:rPr>
      </w:pPr>
      <w:r>
        <w:rPr>
          <w:sz w:val="22"/>
          <w:szCs w:val="22"/>
        </w:rPr>
        <w:t xml:space="preserve">Registry staff are able to see the merged data from all participating </w:t>
      </w:r>
      <w:r w:rsidR="008B3131">
        <w:rPr>
          <w:sz w:val="22"/>
          <w:szCs w:val="22"/>
        </w:rPr>
        <w:t xml:space="preserve">consists. As trends in the disease are tracked over time longitudinal data are held. </w:t>
      </w:r>
      <w:r>
        <w:rPr>
          <w:sz w:val="22"/>
          <w:szCs w:val="22"/>
        </w:rPr>
        <w:t>However, this centrally held data is anonymised. Only staff at the participating centres can link the relevant data to particular patients.</w:t>
      </w:r>
    </w:p>
    <w:p w:rsidR="008B3131" w:rsidRDefault="008B3131" w:rsidP="008B3131">
      <w:pPr>
        <w:pStyle w:val="Default"/>
        <w:rPr>
          <w:sz w:val="22"/>
          <w:szCs w:val="22"/>
        </w:rPr>
      </w:pPr>
    </w:p>
    <w:p w:rsidR="008B3131" w:rsidRDefault="008B3131" w:rsidP="008B3131">
      <w:pPr>
        <w:pStyle w:val="Default"/>
        <w:rPr>
          <w:sz w:val="22"/>
          <w:szCs w:val="22"/>
        </w:rPr>
      </w:pPr>
      <w:r>
        <w:rPr>
          <w:sz w:val="22"/>
          <w:szCs w:val="22"/>
        </w:rPr>
        <w:t xml:space="preserve">Use of data in the national database is subject to approval from the </w:t>
      </w:r>
      <w:r w:rsidR="00952989">
        <w:rPr>
          <w:sz w:val="22"/>
          <w:szCs w:val="22"/>
        </w:rPr>
        <w:t>International A-T Registry</w:t>
      </w:r>
      <w:r>
        <w:rPr>
          <w:sz w:val="22"/>
          <w:szCs w:val="22"/>
        </w:rPr>
        <w:t xml:space="preserve"> Steering Committee. </w:t>
      </w:r>
      <w:r w:rsidR="00952989">
        <w:rPr>
          <w:sz w:val="22"/>
          <w:szCs w:val="22"/>
        </w:rPr>
        <w:t>Where appropriate,</w:t>
      </w:r>
      <w:r>
        <w:rPr>
          <w:sz w:val="22"/>
          <w:szCs w:val="22"/>
        </w:rPr>
        <w:t xml:space="preserve"> research projects will require the relevant approvals from a Research Ethics Committee. </w:t>
      </w:r>
    </w:p>
    <w:p w:rsidR="008B3131" w:rsidRDefault="008B3131" w:rsidP="008B3131">
      <w:pPr>
        <w:pStyle w:val="Default"/>
        <w:rPr>
          <w:sz w:val="22"/>
          <w:szCs w:val="22"/>
        </w:rPr>
      </w:pPr>
    </w:p>
    <w:p w:rsidR="008B3131" w:rsidRDefault="008B3131" w:rsidP="008B3131">
      <w:pPr>
        <w:pStyle w:val="Default"/>
        <w:rPr>
          <w:sz w:val="22"/>
          <w:szCs w:val="22"/>
        </w:rPr>
      </w:pPr>
      <w:r>
        <w:rPr>
          <w:b/>
          <w:bCs/>
          <w:sz w:val="22"/>
          <w:szCs w:val="22"/>
        </w:rPr>
        <w:t>2.</w:t>
      </w:r>
      <w:r w:rsidR="0041258E">
        <w:rPr>
          <w:b/>
          <w:bCs/>
          <w:sz w:val="22"/>
          <w:szCs w:val="22"/>
        </w:rPr>
        <w:t>1</w:t>
      </w:r>
      <w:r>
        <w:rPr>
          <w:b/>
          <w:bCs/>
          <w:sz w:val="22"/>
          <w:szCs w:val="22"/>
        </w:rPr>
        <w:t xml:space="preserve"> Patient anonymity </w:t>
      </w:r>
    </w:p>
    <w:p w:rsidR="008B3131" w:rsidRPr="006E30DB" w:rsidRDefault="008B3131" w:rsidP="006E30DB">
      <w:pPr>
        <w:pStyle w:val="Default"/>
        <w:rPr>
          <w:sz w:val="22"/>
          <w:szCs w:val="22"/>
        </w:rPr>
      </w:pPr>
      <w:r>
        <w:rPr>
          <w:sz w:val="22"/>
          <w:szCs w:val="22"/>
        </w:rPr>
        <w:t xml:space="preserve">Patient anonymity is paramount within </w:t>
      </w:r>
      <w:r w:rsidR="006E30DB">
        <w:rPr>
          <w:sz w:val="22"/>
          <w:szCs w:val="22"/>
        </w:rPr>
        <w:t>the registry</w:t>
      </w:r>
      <w:r>
        <w:rPr>
          <w:sz w:val="22"/>
          <w:szCs w:val="22"/>
        </w:rPr>
        <w:t xml:space="preserve">. This is achieved by the </w:t>
      </w:r>
      <w:r w:rsidR="006E30DB">
        <w:rPr>
          <w:sz w:val="22"/>
          <w:szCs w:val="22"/>
        </w:rPr>
        <w:t>generating a unique number for each patient at the time of initial registration</w:t>
      </w:r>
      <w:r>
        <w:rPr>
          <w:sz w:val="22"/>
          <w:szCs w:val="22"/>
        </w:rPr>
        <w:t xml:space="preserve"> by </w:t>
      </w:r>
      <w:r w:rsidR="006E30DB">
        <w:rPr>
          <w:sz w:val="22"/>
          <w:szCs w:val="22"/>
        </w:rPr>
        <w:t>their</w:t>
      </w:r>
      <w:r>
        <w:rPr>
          <w:sz w:val="22"/>
          <w:szCs w:val="22"/>
        </w:rPr>
        <w:t xml:space="preserve"> centre at registration. Th</w:t>
      </w:r>
      <w:r w:rsidR="006E30DB">
        <w:rPr>
          <w:sz w:val="22"/>
          <w:szCs w:val="22"/>
        </w:rPr>
        <w:t>is</w:t>
      </w:r>
      <w:r>
        <w:rPr>
          <w:sz w:val="22"/>
          <w:szCs w:val="22"/>
        </w:rPr>
        <w:t xml:space="preserve"> PIN identifies the patient within the database </w:t>
      </w:r>
      <w:r w:rsidR="006E30DB">
        <w:rPr>
          <w:sz w:val="22"/>
          <w:szCs w:val="22"/>
        </w:rPr>
        <w:t>but its link to identifying data is not stored centrally on the database and is known only to the centre entering the data</w:t>
      </w:r>
      <w:r>
        <w:rPr>
          <w:sz w:val="22"/>
          <w:szCs w:val="22"/>
        </w:rPr>
        <w:t xml:space="preserve">. </w:t>
      </w:r>
      <w:r w:rsidR="00246C70">
        <w:rPr>
          <w:sz w:val="22"/>
          <w:szCs w:val="22"/>
        </w:rPr>
        <w:t>S</w:t>
      </w:r>
      <w:r w:rsidRPr="006E30DB">
        <w:rPr>
          <w:sz w:val="22"/>
          <w:szCs w:val="22"/>
        </w:rPr>
        <w:t xml:space="preserve">hould the patient transfer to another </w:t>
      </w:r>
      <w:r w:rsidR="00246C70">
        <w:rPr>
          <w:sz w:val="22"/>
          <w:szCs w:val="22"/>
        </w:rPr>
        <w:t>A-T</w:t>
      </w:r>
      <w:r w:rsidRPr="006E30DB">
        <w:rPr>
          <w:sz w:val="22"/>
          <w:szCs w:val="22"/>
        </w:rPr>
        <w:t xml:space="preserve"> clinic, </w:t>
      </w:r>
      <w:r w:rsidR="00246C70">
        <w:rPr>
          <w:sz w:val="22"/>
          <w:szCs w:val="22"/>
        </w:rPr>
        <w:t xml:space="preserve">staff at the original centre can change the clinic </w:t>
      </w:r>
      <w:r w:rsidR="00246C70">
        <w:rPr>
          <w:sz w:val="22"/>
          <w:szCs w:val="22"/>
        </w:rPr>
        <w:lastRenderedPageBreak/>
        <w:t xml:space="preserve">associated with this PIN. They will continue to be able to see the data they entered, but not that entered at the new centre. This </w:t>
      </w:r>
      <w:r w:rsidRPr="006E30DB">
        <w:rPr>
          <w:sz w:val="22"/>
          <w:szCs w:val="22"/>
        </w:rPr>
        <w:t xml:space="preserve">mechanism ensures that patient names are known only to their immediate carers and </w:t>
      </w:r>
      <w:r w:rsidR="00246C70">
        <w:rPr>
          <w:sz w:val="22"/>
          <w:szCs w:val="22"/>
        </w:rPr>
        <w:t>will not normally be known even by authorised members of the Registry team</w:t>
      </w:r>
      <w:r w:rsidRPr="006E30DB">
        <w:rPr>
          <w:sz w:val="22"/>
          <w:szCs w:val="22"/>
        </w:rPr>
        <w:t xml:space="preserve">. </w:t>
      </w:r>
    </w:p>
    <w:p w:rsidR="00516075" w:rsidRPr="006E30DB" w:rsidRDefault="00516075" w:rsidP="008B3131">
      <w:pPr>
        <w:pStyle w:val="Default"/>
        <w:rPr>
          <w:sz w:val="22"/>
          <w:szCs w:val="22"/>
        </w:rPr>
      </w:pPr>
    </w:p>
    <w:p w:rsidR="008B3131" w:rsidRPr="006E30DB" w:rsidRDefault="008B3131" w:rsidP="006E30DB">
      <w:pPr>
        <w:autoSpaceDE w:val="0"/>
        <w:autoSpaceDN w:val="0"/>
        <w:adjustRightInd w:val="0"/>
        <w:spacing w:after="0" w:line="240" w:lineRule="auto"/>
        <w:rPr>
          <w:rFonts w:cs="Arial"/>
          <w:b/>
          <w:bCs/>
          <w:color w:val="000000"/>
        </w:rPr>
      </w:pPr>
      <w:r w:rsidRPr="006E30DB">
        <w:rPr>
          <w:rFonts w:cs="Arial"/>
          <w:b/>
          <w:bCs/>
          <w:color w:val="000000"/>
        </w:rPr>
        <w:t>2.</w:t>
      </w:r>
      <w:r w:rsidR="0041258E">
        <w:rPr>
          <w:rFonts w:cs="Arial"/>
          <w:b/>
          <w:bCs/>
          <w:color w:val="000000"/>
        </w:rPr>
        <w:t>2</w:t>
      </w:r>
      <w:r w:rsidRPr="006E30DB">
        <w:rPr>
          <w:rFonts w:cs="Arial"/>
          <w:b/>
          <w:bCs/>
          <w:color w:val="000000"/>
        </w:rPr>
        <w:t xml:space="preserve"> Compliance with the data protection act </w:t>
      </w:r>
    </w:p>
    <w:p w:rsidR="00E61CE0" w:rsidRDefault="008B3131" w:rsidP="008B3131">
      <w:pPr>
        <w:pStyle w:val="NoSpacing"/>
      </w:pPr>
      <w:r>
        <w:t>The database is fully compliant with the principles of the Data Protection Act.</w:t>
      </w:r>
    </w:p>
    <w:p w:rsidR="00DC1965" w:rsidRDefault="00DC1965" w:rsidP="00A84AF8">
      <w:pPr>
        <w:pStyle w:val="NoSpacing"/>
      </w:pPr>
    </w:p>
    <w:p w:rsidR="00516075" w:rsidRPr="00516075" w:rsidRDefault="00516075" w:rsidP="00516075">
      <w:pPr>
        <w:autoSpaceDE w:val="0"/>
        <w:autoSpaceDN w:val="0"/>
        <w:adjustRightInd w:val="0"/>
        <w:spacing w:after="0" w:line="240" w:lineRule="auto"/>
        <w:rPr>
          <w:rFonts w:cs="Arial"/>
          <w:color w:val="000000"/>
        </w:rPr>
      </w:pPr>
      <w:r w:rsidRPr="00516075">
        <w:rPr>
          <w:rFonts w:cs="Arial"/>
          <w:b/>
          <w:bCs/>
          <w:color w:val="000000"/>
        </w:rPr>
        <w:t>2.</w:t>
      </w:r>
      <w:r w:rsidR="0041258E">
        <w:rPr>
          <w:rFonts w:cs="Arial"/>
          <w:b/>
          <w:bCs/>
          <w:color w:val="000000"/>
        </w:rPr>
        <w:t>3</w:t>
      </w:r>
      <w:r w:rsidRPr="00516075">
        <w:rPr>
          <w:rFonts w:cs="Arial"/>
          <w:b/>
          <w:bCs/>
          <w:color w:val="000000"/>
        </w:rPr>
        <w:t xml:space="preserve"> Gathering Clinical Information </w:t>
      </w:r>
    </w:p>
    <w:p w:rsidR="00516075" w:rsidRDefault="00516075" w:rsidP="00516075">
      <w:pPr>
        <w:autoSpaceDE w:val="0"/>
        <w:autoSpaceDN w:val="0"/>
        <w:adjustRightInd w:val="0"/>
        <w:spacing w:after="0" w:line="240" w:lineRule="auto"/>
        <w:rPr>
          <w:rFonts w:cs="Arial"/>
          <w:color w:val="000000"/>
        </w:rPr>
      </w:pPr>
      <w:r w:rsidRPr="00516075">
        <w:rPr>
          <w:rFonts w:cs="Arial"/>
          <w:color w:val="000000"/>
        </w:rPr>
        <w:t>Routine clinical data will be collected in</w:t>
      </w:r>
      <w:r w:rsidR="003F1981">
        <w:rPr>
          <w:rFonts w:cs="Arial"/>
          <w:color w:val="000000"/>
        </w:rPr>
        <w:t xml:space="preserve"> accordance with local protocols </w:t>
      </w:r>
      <w:r w:rsidRPr="00516075">
        <w:rPr>
          <w:rFonts w:cs="Arial"/>
          <w:color w:val="000000"/>
        </w:rPr>
        <w:t xml:space="preserve">and entered in the patients’ hospital notes. Data will then be transferred to the database. </w:t>
      </w:r>
    </w:p>
    <w:p w:rsidR="003F1981" w:rsidRPr="00516075" w:rsidRDefault="003F1981" w:rsidP="00516075">
      <w:pPr>
        <w:autoSpaceDE w:val="0"/>
        <w:autoSpaceDN w:val="0"/>
        <w:adjustRightInd w:val="0"/>
        <w:spacing w:after="0" w:line="240" w:lineRule="auto"/>
        <w:rPr>
          <w:rFonts w:cs="Arial"/>
          <w:color w:val="000000"/>
        </w:rPr>
      </w:pPr>
    </w:p>
    <w:p w:rsidR="0009465A" w:rsidRDefault="0009465A" w:rsidP="00516075">
      <w:pPr>
        <w:autoSpaceDE w:val="0"/>
        <w:autoSpaceDN w:val="0"/>
        <w:adjustRightInd w:val="0"/>
        <w:spacing w:after="0" w:line="240" w:lineRule="auto"/>
        <w:rPr>
          <w:rFonts w:cs="Arial"/>
          <w:b/>
          <w:bCs/>
          <w:color w:val="000000"/>
        </w:rPr>
      </w:pPr>
      <w:r>
        <w:rPr>
          <w:rFonts w:cs="Arial"/>
          <w:b/>
          <w:bCs/>
          <w:color w:val="000000"/>
        </w:rPr>
        <w:t>2.4 Emergence of significant findings for individual</w:t>
      </w:r>
    </w:p>
    <w:p w:rsidR="0009465A" w:rsidRPr="0009465A" w:rsidRDefault="0009465A" w:rsidP="0009465A">
      <w:pPr>
        <w:autoSpaceDE w:val="0"/>
        <w:autoSpaceDN w:val="0"/>
        <w:adjustRightInd w:val="0"/>
        <w:spacing w:after="0" w:line="240" w:lineRule="auto"/>
        <w:rPr>
          <w:rFonts w:cs="Arial"/>
          <w:color w:val="000000"/>
        </w:rPr>
      </w:pPr>
      <w:r w:rsidRPr="0009465A">
        <w:rPr>
          <w:rFonts w:cs="Arial"/>
          <w:color w:val="000000"/>
        </w:rPr>
        <w:t xml:space="preserve">Should any research using data from the registry identify anything which might affect </w:t>
      </w:r>
      <w:r>
        <w:rPr>
          <w:rFonts w:cs="Arial"/>
          <w:color w:val="000000"/>
        </w:rPr>
        <w:t xml:space="preserve">the </w:t>
      </w:r>
      <w:r w:rsidRPr="0009465A">
        <w:rPr>
          <w:rFonts w:cs="Arial"/>
          <w:color w:val="000000"/>
        </w:rPr>
        <w:t>treatment and care</w:t>
      </w:r>
      <w:r>
        <w:rPr>
          <w:rFonts w:cs="Arial"/>
          <w:color w:val="000000"/>
        </w:rPr>
        <w:t xml:space="preserve"> of a patient</w:t>
      </w:r>
      <w:r w:rsidRPr="0009465A">
        <w:rPr>
          <w:rFonts w:cs="Arial"/>
          <w:color w:val="000000"/>
        </w:rPr>
        <w:t xml:space="preserve">, </w:t>
      </w:r>
      <w:r>
        <w:rPr>
          <w:rFonts w:cs="Arial"/>
          <w:color w:val="000000"/>
        </w:rPr>
        <w:t>this will immediately be notified to the clinician or centre responsible for that patient’s data./</w:t>
      </w:r>
    </w:p>
    <w:p w:rsidR="0009465A" w:rsidRDefault="0009465A" w:rsidP="00516075">
      <w:pPr>
        <w:autoSpaceDE w:val="0"/>
        <w:autoSpaceDN w:val="0"/>
        <w:adjustRightInd w:val="0"/>
        <w:spacing w:after="0" w:line="240" w:lineRule="auto"/>
        <w:rPr>
          <w:rFonts w:cs="Arial"/>
          <w:b/>
          <w:bCs/>
          <w:color w:val="000000"/>
        </w:rPr>
      </w:pPr>
    </w:p>
    <w:p w:rsidR="00516075" w:rsidRPr="00516075" w:rsidRDefault="00516075" w:rsidP="00516075">
      <w:pPr>
        <w:autoSpaceDE w:val="0"/>
        <w:autoSpaceDN w:val="0"/>
        <w:adjustRightInd w:val="0"/>
        <w:spacing w:after="0" w:line="240" w:lineRule="auto"/>
        <w:rPr>
          <w:rFonts w:cs="Arial"/>
          <w:color w:val="000000"/>
        </w:rPr>
      </w:pPr>
      <w:r w:rsidRPr="00516075">
        <w:rPr>
          <w:rFonts w:cs="Arial"/>
          <w:b/>
          <w:bCs/>
          <w:color w:val="000000"/>
        </w:rPr>
        <w:t>2.</w:t>
      </w:r>
      <w:r w:rsidR="0009465A">
        <w:rPr>
          <w:rFonts w:cs="Arial"/>
          <w:b/>
          <w:bCs/>
          <w:color w:val="000000"/>
        </w:rPr>
        <w:t>5</w:t>
      </w:r>
      <w:r w:rsidRPr="00516075">
        <w:rPr>
          <w:rFonts w:cs="Arial"/>
          <w:b/>
          <w:bCs/>
          <w:color w:val="000000"/>
        </w:rPr>
        <w:t xml:space="preserve"> Data accuracy </w:t>
      </w:r>
    </w:p>
    <w:p w:rsidR="00516075" w:rsidRDefault="00516075" w:rsidP="00516075">
      <w:pPr>
        <w:autoSpaceDE w:val="0"/>
        <w:autoSpaceDN w:val="0"/>
        <w:adjustRightInd w:val="0"/>
        <w:spacing w:after="0" w:line="240" w:lineRule="auto"/>
        <w:rPr>
          <w:rFonts w:cs="Arial"/>
          <w:color w:val="000000"/>
        </w:rPr>
      </w:pPr>
      <w:r w:rsidRPr="00246C70">
        <w:rPr>
          <w:rFonts w:cs="Arial"/>
          <w:color w:val="000000"/>
        </w:rPr>
        <w:t xml:space="preserve">Data accuracy considered central to the database protocol. </w:t>
      </w:r>
      <w:r w:rsidR="003834D7">
        <w:rPr>
          <w:rFonts w:cs="Arial"/>
          <w:color w:val="000000"/>
        </w:rPr>
        <w:t xml:space="preserve">Monthly audits and sampling checks will be carried out. </w:t>
      </w:r>
      <w:r w:rsidRPr="00246C70">
        <w:rPr>
          <w:rFonts w:cs="Arial"/>
          <w:color w:val="000000"/>
        </w:rPr>
        <w:t xml:space="preserve">All queries or errors </w:t>
      </w:r>
      <w:r w:rsidR="003834D7">
        <w:rPr>
          <w:rFonts w:cs="Arial"/>
          <w:color w:val="000000"/>
        </w:rPr>
        <w:t>will be</w:t>
      </w:r>
      <w:r w:rsidRPr="00246C70">
        <w:rPr>
          <w:rFonts w:cs="Arial"/>
          <w:color w:val="000000"/>
        </w:rPr>
        <w:t xml:space="preserve"> notified back to the </w:t>
      </w:r>
      <w:r w:rsidR="00246C70" w:rsidRPr="00246C70">
        <w:rPr>
          <w:rFonts w:cs="Arial"/>
          <w:color w:val="000000"/>
        </w:rPr>
        <w:t>A-T</w:t>
      </w:r>
      <w:r w:rsidRPr="00246C70">
        <w:rPr>
          <w:rFonts w:cs="Arial"/>
          <w:color w:val="000000"/>
        </w:rPr>
        <w:t xml:space="preserve"> centres within two weeks of </w:t>
      </w:r>
      <w:r w:rsidR="003834D7">
        <w:rPr>
          <w:rFonts w:cs="Arial"/>
          <w:color w:val="000000"/>
        </w:rPr>
        <w:t>identification</w:t>
      </w:r>
      <w:r w:rsidRPr="00246C70">
        <w:rPr>
          <w:rFonts w:cs="Arial"/>
          <w:color w:val="000000"/>
        </w:rPr>
        <w:t>.</w:t>
      </w:r>
      <w:r w:rsidRPr="00516075">
        <w:rPr>
          <w:rFonts w:cs="Arial"/>
          <w:color w:val="000000"/>
        </w:rPr>
        <w:t xml:space="preserve"> </w:t>
      </w:r>
    </w:p>
    <w:p w:rsidR="003F1981" w:rsidRPr="00516075" w:rsidRDefault="003F1981" w:rsidP="00516075">
      <w:pPr>
        <w:autoSpaceDE w:val="0"/>
        <w:autoSpaceDN w:val="0"/>
        <w:adjustRightInd w:val="0"/>
        <w:spacing w:after="0" w:line="240" w:lineRule="auto"/>
        <w:rPr>
          <w:rFonts w:cs="Arial"/>
          <w:color w:val="000000"/>
        </w:rPr>
      </w:pPr>
    </w:p>
    <w:p w:rsidR="00516075" w:rsidRPr="00516075" w:rsidRDefault="00516075" w:rsidP="00516075">
      <w:pPr>
        <w:autoSpaceDE w:val="0"/>
        <w:autoSpaceDN w:val="0"/>
        <w:adjustRightInd w:val="0"/>
        <w:spacing w:after="0" w:line="240" w:lineRule="auto"/>
        <w:rPr>
          <w:rFonts w:cs="Arial"/>
          <w:color w:val="000000"/>
        </w:rPr>
      </w:pPr>
      <w:r w:rsidRPr="00516075">
        <w:rPr>
          <w:rFonts w:cs="Arial"/>
          <w:b/>
          <w:bCs/>
          <w:color w:val="000000"/>
        </w:rPr>
        <w:t>2.</w:t>
      </w:r>
      <w:r w:rsidR="0009465A">
        <w:rPr>
          <w:rFonts w:cs="Arial"/>
          <w:b/>
          <w:bCs/>
          <w:color w:val="000000"/>
        </w:rPr>
        <w:t>6</w:t>
      </w:r>
      <w:r w:rsidRPr="00516075">
        <w:rPr>
          <w:rFonts w:cs="Arial"/>
          <w:b/>
          <w:bCs/>
          <w:color w:val="000000"/>
        </w:rPr>
        <w:t xml:space="preserve"> Access to data </w:t>
      </w:r>
    </w:p>
    <w:p w:rsidR="00516075" w:rsidRPr="00516075" w:rsidRDefault="00516075" w:rsidP="00516075">
      <w:pPr>
        <w:autoSpaceDE w:val="0"/>
        <w:autoSpaceDN w:val="0"/>
        <w:adjustRightInd w:val="0"/>
        <w:spacing w:after="0" w:line="240" w:lineRule="auto"/>
        <w:rPr>
          <w:rFonts w:cs="Arial"/>
          <w:color w:val="000000"/>
        </w:rPr>
      </w:pPr>
      <w:r w:rsidRPr="00516075">
        <w:rPr>
          <w:rFonts w:cs="Arial"/>
          <w:color w:val="000000"/>
        </w:rPr>
        <w:t xml:space="preserve">Access to the entire database is regulated by the </w:t>
      </w:r>
      <w:r w:rsidR="003F1981">
        <w:rPr>
          <w:rFonts w:cs="Arial"/>
          <w:color w:val="000000"/>
        </w:rPr>
        <w:t>A-T International Registry Scientific Board</w:t>
      </w:r>
      <w:r w:rsidRPr="00516075">
        <w:rPr>
          <w:rFonts w:cs="Arial"/>
          <w:color w:val="000000"/>
        </w:rPr>
        <w:t xml:space="preserve"> which consider</w:t>
      </w:r>
      <w:r w:rsidR="003F1981">
        <w:rPr>
          <w:rFonts w:cs="Arial"/>
          <w:color w:val="000000"/>
        </w:rPr>
        <w:t>s</w:t>
      </w:r>
      <w:r w:rsidRPr="00516075">
        <w:rPr>
          <w:rFonts w:cs="Arial"/>
          <w:color w:val="000000"/>
        </w:rPr>
        <w:t xml:space="preserve"> requests</w:t>
      </w:r>
      <w:r w:rsidR="003F1981">
        <w:rPr>
          <w:rFonts w:cs="Arial"/>
          <w:color w:val="000000"/>
        </w:rPr>
        <w:t xml:space="preserve"> by email and conference call</w:t>
      </w:r>
      <w:r w:rsidRPr="00516075">
        <w:rPr>
          <w:rFonts w:cs="Arial"/>
          <w:color w:val="000000"/>
        </w:rPr>
        <w:t xml:space="preserve">. </w:t>
      </w:r>
    </w:p>
    <w:p w:rsidR="003F1981" w:rsidRDefault="003F1981" w:rsidP="00516075">
      <w:pPr>
        <w:autoSpaceDE w:val="0"/>
        <w:autoSpaceDN w:val="0"/>
        <w:adjustRightInd w:val="0"/>
        <w:spacing w:after="0" w:line="240" w:lineRule="auto"/>
        <w:rPr>
          <w:rFonts w:cs="Arial"/>
          <w:color w:val="000000"/>
        </w:rPr>
      </w:pPr>
    </w:p>
    <w:p w:rsidR="00516075" w:rsidRPr="00516075" w:rsidRDefault="00516075" w:rsidP="00516075">
      <w:pPr>
        <w:autoSpaceDE w:val="0"/>
        <w:autoSpaceDN w:val="0"/>
        <w:adjustRightInd w:val="0"/>
        <w:spacing w:after="0" w:line="240" w:lineRule="auto"/>
        <w:rPr>
          <w:rFonts w:cs="Arial"/>
          <w:color w:val="000000"/>
        </w:rPr>
      </w:pPr>
      <w:r w:rsidRPr="00516075">
        <w:rPr>
          <w:rFonts w:cs="Arial"/>
          <w:color w:val="000000"/>
        </w:rPr>
        <w:t xml:space="preserve">Authorised personnel at the </w:t>
      </w:r>
      <w:r w:rsidR="003F1981">
        <w:rPr>
          <w:rFonts w:cs="Arial"/>
          <w:color w:val="000000"/>
        </w:rPr>
        <w:t>A-T Society</w:t>
      </w:r>
      <w:r w:rsidRPr="00516075">
        <w:rPr>
          <w:rFonts w:cs="Arial"/>
          <w:color w:val="000000"/>
        </w:rPr>
        <w:t xml:space="preserve"> will have access to the database for </w:t>
      </w:r>
      <w:r w:rsidR="003834D7">
        <w:rPr>
          <w:rFonts w:cs="Arial"/>
          <w:color w:val="000000"/>
        </w:rPr>
        <w:t xml:space="preserve">administration and </w:t>
      </w:r>
      <w:r w:rsidRPr="00516075">
        <w:rPr>
          <w:rFonts w:cs="Arial"/>
          <w:color w:val="000000"/>
        </w:rPr>
        <w:t xml:space="preserve">data verification purposes. </w:t>
      </w:r>
    </w:p>
    <w:p w:rsidR="003F1981" w:rsidRDefault="003F1981" w:rsidP="00516075">
      <w:pPr>
        <w:autoSpaceDE w:val="0"/>
        <w:autoSpaceDN w:val="0"/>
        <w:adjustRightInd w:val="0"/>
        <w:spacing w:after="0" w:line="240" w:lineRule="auto"/>
        <w:rPr>
          <w:rFonts w:cs="Arial"/>
          <w:color w:val="000000"/>
        </w:rPr>
      </w:pPr>
    </w:p>
    <w:p w:rsidR="00D61262" w:rsidRDefault="00516075" w:rsidP="00516075">
      <w:pPr>
        <w:autoSpaceDE w:val="0"/>
        <w:autoSpaceDN w:val="0"/>
        <w:adjustRightInd w:val="0"/>
        <w:spacing w:after="0" w:line="240" w:lineRule="auto"/>
        <w:rPr>
          <w:rFonts w:cs="Arial"/>
          <w:color w:val="000000"/>
        </w:rPr>
      </w:pPr>
      <w:r w:rsidRPr="00516075">
        <w:rPr>
          <w:rFonts w:cs="Arial"/>
          <w:color w:val="000000"/>
        </w:rPr>
        <w:t xml:space="preserve">Authorised </w:t>
      </w:r>
      <w:r w:rsidR="003F1981">
        <w:rPr>
          <w:rFonts w:cs="Arial"/>
          <w:color w:val="000000"/>
        </w:rPr>
        <w:t xml:space="preserve">clinicians or </w:t>
      </w:r>
      <w:r w:rsidRPr="00516075">
        <w:rPr>
          <w:rFonts w:cs="Arial"/>
          <w:color w:val="000000"/>
        </w:rPr>
        <w:t xml:space="preserve">personnel at </w:t>
      </w:r>
      <w:r w:rsidR="003F1981">
        <w:rPr>
          <w:rFonts w:cs="Arial"/>
          <w:color w:val="000000"/>
        </w:rPr>
        <w:t>a registered</w:t>
      </w:r>
      <w:r w:rsidRPr="00516075">
        <w:rPr>
          <w:rFonts w:cs="Arial"/>
          <w:color w:val="000000"/>
        </w:rPr>
        <w:t xml:space="preserve"> </w:t>
      </w:r>
      <w:r w:rsidR="003F1981">
        <w:rPr>
          <w:rFonts w:cs="Arial"/>
          <w:color w:val="000000"/>
        </w:rPr>
        <w:t>A-T</w:t>
      </w:r>
      <w:r w:rsidRPr="00516075">
        <w:rPr>
          <w:rFonts w:cs="Arial"/>
          <w:color w:val="000000"/>
        </w:rPr>
        <w:t xml:space="preserve"> centre will be able to review data entered on the centre’s </w:t>
      </w:r>
      <w:r w:rsidRPr="003834D7">
        <w:rPr>
          <w:rFonts w:cs="Arial"/>
          <w:color w:val="000000"/>
        </w:rPr>
        <w:t>patients</w:t>
      </w:r>
      <w:r w:rsidR="003834D7">
        <w:rPr>
          <w:rFonts w:cs="Arial"/>
          <w:color w:val="000000"/>
        </w:rPr>
        <w:t xml:space="preserve">. </w:t>
      </w:r>
      <w:r w:rsidR="003834D7" w:rsidRPr="003834D7">
        <w:rPr>
          <w:rFonts w:cs="Arial"/>
          <w:color w:val="000000"/>
        </w:rPr>
        <w:t>This</w:t>
      </w:r>
      <w:r w:rsidRPr="003834D7">
        <w:rPr>
          <w:rFonts w:cs="Arial"/>
          <w:color w:val="000000"/>
        </w:rPr>
        <w:t xml:space="preserve"> will enable local clinicians to review individual trends and facilitate the planning of the patients’ clinical management. Personnel</w:t>
      </w:r>
      <w:r w:rsidRPr="00516075">
        <w:rPr>
          <w:rFonts w:cs="Arial"/>
          <w:color w:val="000000"/>
        </w:rPr>
        <w:t xml:space="preserve"> will be only able to review data from their own centre; they will not be able to view data from other centres. </w:t>
      </w:r>
    </w:p>
    <w:p w:rsidR="00D61262" w:rsidRDefault="00D61262" w:rsidP="00516075">
      <w:pPr>
        <w:autoSpaceDE w:val="0"/>
        <w:autoSpaceDN w:val="0"/>
        <w:adjustRightInd w:val="0"/>
        <w:spacing w:after="0" w:line="240" w:lineRule="auto"/>
        <w:rPr>
          <w:rFonts w:cs="Arial"/>
          <w:b/>
          <w:bCs/>
          <w:color w:val="000000"/>
        </w:rPr>
      </w:pPr>
    </w:p>
    <w:p w:rsidR="0041258E" w:rsidRDefault="0041258E" w:rsidP="00516075">
      <w:pPr>
        <w:autoSpaceDE w:val="0"/>
        <w:autoSpaceDN w:val="0"/>
        <w:adjustRightInd w:val="0"/>
        <w:spacing w:after="0" w:line="240" w:lineRule="auto"/>
        <w:rPr>
          <w:rFonts w:cs="Arial"/>
          <w:b/>
          <w:bCs/>
          <w:color w:val="000000"/>
        </w:rPr>
      </w:pPr>
    </w:p>
    <w:p w:rsidR="00516075" w:rsidRPr="00516075" w:rsidRDefault="003834D7" w:rsidP="00516075">
      <w:pPr>
        <w:autoSpaceDE w:val="0"/>
        <w:autoSpaceDN w:val="0"/>
        <w:adjustRightInd w:val="0"/>
        <w:spacing w:after="0" w:line="240" w:lineRule="auto"/>
        <w:rPr>
          <w:rFonts w:cs="Arial"/>
          <w:color w:val="000000"/>
        </w:rPr>
      </w:pPr>
      <w:r>
        <w:rPr>
          <w:rFonts w:cs="Arial"/>
          <w:b/>
          <w:bCs/>
          <w:color w:val="000000"/>
        </w:rPr>
        <w:t>3</w:t>
      </w:r>
      <w:r w:rsidR="00516075" w:rsidRPr="00516075">
        <w:rPr>
          <w:rFonts w:cs="Arial"/>
          <w:b/>
          <w:bCs/>
          <w:color w:val="000000"/>
        </w:rPr>
        <w:t xml:space="preserve">. Publication Policy </w:t>
      </w:r>
    </w:p>
    <w:p w:rsidR="00516075" w:rsidRPr="00516075" w:rsidRDefault="00516075" w:rsidP="00516075">
      <w:pPr>
        <w:autoSpaceDE w:val="0"/>
        <w:autoSpaceDN w:val="0"/>
        <w:adjustRightInd w:val="0"/>
        <w:spacing w:after="0" w:line="240" w:lineRule="auto"/>
        <w:rPr>
          <w:rFonts w:cs="Arial"/>
          <w:color w:val="000000"/>
        </w:rPr>
      </w:pPr>
      <w:r w:rsidRPr="00516075">
        <w:rPr>
          <w:rFonts w:cs="Arial"/>
          <w:color w:val="000000"/>
        </w:rPr>
        <w:t xml:space="preserve">The publication policy will be discussed and agreed with the </w:t>
      </w:r>
      <w:r w:rsidR="003F1981">
        <w:rPr>
          <w:rFonts w:cs="Arial"/>
          <w:color w:val="000000"/>
        </w:rPr>
        <w:t>A-T International Registry Scientific Board</w:t>
      </w:r>
      <w:r w:rsidRPr="00516075">
        <w:rPr>
          <w:rFonts w:cs="Arial"/>
          <w:color w:val="000000"/>
        </w:rPr>
        <w:t xml:space="preserve">. </w:t>
      </w:r>
    </w:p>
    <w:p w:rsidR="003F1981" w:rsidRDefault="003F1981" w:rsidP="00516075">
      <w:pPr>
        <w:autoSpaceDE w:val="0"/>
        <w:autoSpaceDN w:val="0"/>
        <w:adjustRightInd w:val="0"/>
        <w:spacing w:after="0" w:line="240" w:lineRule="auto"/>
        <w:rPr>
          <w:rFonts w:cs="Arial"/>
          <w:color w:val="000000"/>
        </w:rPr>
      </w:pPr>
    </w:p>
    <w:p w:rsidR="00516075" w:rsidRPr="00516075" w:rsidRDefault="00516075" w:rsidP="00516075">
      <w:pPr>
        <w:autoSpaceDE w:val="0"/>
        <w:autoSpaceDN w:val="0"/>
        <w:adjustRightInd w:val="0"/>
        <w:spacing w:after="0" w:line="240" w:lineRule="auto"/>
        <w:rPr>
          <w:rFonts w:cs="Arial"/>
          <w:color w:val="000000"/>
        </w:rPr>
      </w:pPr>
      <w:r w:rsidRPr="00516075">
        <w:rPr>
          <w:rFonts w:cs="Arial"/>
          <w:color w:val="000000"/>
        </w:rPr>
        <w:t xml:space="preserve">Annual reports will be produced by the </w:t>
      </w:r>
      <w:r w:rsidR="003F1981">
        <w:rPr>
          <w:rFonts w:cs="Arial"/>
          <w:color w:val="000000"/>
        </w:rPr>
        <w:t>A-T society</w:t>
      </w:r>
      <w:r w:rsidRPr="00516075">
        <w:rPr>
          <w:rFonts w:cs="Arial"/>
          <w:color w:val="000000"/>
        </w:rPr>
        <w:t xml:space="preserve"> in conjunction with the </w:t>
      </w:r>
      <w:r w:rsidR="003F1981">
        <w:rPr>
          <w:rFonts w:cs="Arial"/>
          <w:color w:val="000000"/>
        </w:rPr>
        <w:t>Scientific Board</w:t>
      </w:r>
      <w:r w:rsidRPr="00516075">
        <w:rPr>
          <w:rFonts w:cs="Arial"/>
          <w:color w:val="000000"/>
        </w:rPr>
        <w:t xml:space="preserve">. </w:t>
      </w:r>
    </w:p>
    <w:p w:rsidR="003F1981" w:rsidRDefault="003F1981" w:rsidP="00516075">
      <w:pPr>
        <w:autoSpaceDE w:val="0"/>
        <w:autoSpaceDN w:val="0"/>
        <w:adjustRightInd w:val="0"/>
        <w:spacing w:after="0" w:line="240" w:lineRule="auto"/>
        <w:rPr>
          <w:rFonts w:cs="Arial"/>
          <w:b/>
          <w:bCs/>
          <w:color w:val="000000"/>
        </w:rPr>
      </w:pPr>
    </w:p>
    <w:p w:rsidR="00516075" w:rsidRPr="00516075" w:rsidRDefault="003834D7" w:rsidP="00516075">
      <w:pPr>
        <w:autoSpaceDE w:val="0"/>
        <w:autoSpaceDN w:val="0"/>
        <w:adjustRightInd w:val="0"/>
        <w:spacing w:after="0" w:line="240" w:lineRule="auto"/>
        <w:rPr>
          <w:rFonts w:cs="Arial"/>
          <w:color w:val="000000"/>
        </w:rPr>
      </w:pPr>
      <w:r>
        <w:rPr>
          <w:rFonts w:cs="Arial"/>
          <w:b/>
          <w:bCs/>
          <w:color w:val="000000"/>
        </w:rPr>
        <w:t>4</w:t>
      </w:r>
      <w:r w:rsidR="00516075" w:rsidRPr="00516075">
        <w:rPr>
          <w:rFonts w:cs="Arial"/>
          <w:b/>
          <w:bCs/>
          <w:color w:val="000000"/>
        </w:rPr>
        <w:t xml:space="preserve">. Amendments </w:t>
      </w:r>
    </w:p>
    <w:p w:rsidR="00516075" w:rsidRDefault="00516075" w:rsidP="00516075">
      <w:pPr>
        <w:autoSpaceDE w:val="0"/>
        <w:autoSpaceDN w:val="0"/>
        <w:adjustRightInd w:val="0"/>
        <w:spacing w:after="31" w:line="240" w:lineRule="auto"/>
        <w:rPr>
          <w:rFonts w:cs="Arial"/>
          <w:color w:val="000000"/>
        </w:rPr>
      </w:pPr>
      <w:r w:rsidRPr="00516075">
        <w:rPr>
          <w:rFonts w:cs="Arial"/>
          <w:color w:val="000000"/>
        </w:rPr>
        <w:t xml:space="preserve">All amendments must be submitted to and approved by </w:t>
      </w:r>
      <w:r w:rsidR="00D61262">
        <w:rPr>
          <w:rFonts w:cs="Arial"/>
          <w:color w:val="000000"/>
        </w:rPr>
        <w:t xml:space="preserve">the </w:t>
      </w:r>
      <w:r w:rsidRPr="00516075">
        <w:rPr>
          <w:rFonts w:cs="Arial"/>
          <w:color w:val="000000"/>
        </w:rPr>
        <w:t>R</w:t>
      </w:r>
      <w:r w:rsidR="00D61262">
        <w:rPr>
          <w:rFonts w:cs="Arial"/>
          <w:color w:val="000000"/>
        </w:rPr>
        <w:t xml:space="preserve">esearch </w:t>
      </w:r>
      <w:r w:rsidRPr="00516075">
        <w:rPr>
          <w:rFonts w:cs="Arial"/>
          <w:color w:val="000000"/>
        </w:rPr>
        <w:t>E</w:t>
      </w:r>
      <w:r w:rsidR="00D61262">
        <w:rPr>
          <w:rFonts w:cs="Arial"/>
          <w:color w:val="000000"/>
        </w:rPr>
        <w:t xml:space="preserve">thics </w:t>
      </w:r>
      <w:r w:rsidRPr="00516075">
        <w:rPr>
          <w:rFonts w:cs="Arial"/>
          <w:color w:val="000000"/>
        </w:rPr>
        <w:t>C</w:t>
      </w:r>
      <w:r w:rsidR="00D61262">
        <w:rPr>
          <w:rFonts w:cs="Arial"/>
          <w:color w:val="000000"/>
        </w:rPr>
        <w:t>ommittee</w:t>
      </w:r>
      <w:r w:rsidRPr="00516075">
        <w:rPr>
          <w:rFonts w:cs="Arial"/>
          <w:color w:val="000000"/>
        </w:rPr>
        <w:t xml:space="preserve">. </w:t>
      </w:r>
    </w:p>
    <w:p w:rsidR="00DC1965" w:rsidRDefault="00DC1965" w:rsidP="00D61262">
      <w:pPr>
        <w:pStyle w:val="NoSpacing"/>
        <w:rPr>
          <w:rFonts w:cs="Arial"/>
          <w:color w:val="000000"/>
        </w:rPr>
      </w:pPr>
    </w:p>
    <w:p w:rsidR="00D61262" w:rsidRPr="00BB24A1" w:rsidRDefault="00D61262" w:rsidP="00D61262">
      <w:pPr>
        <w:pStyle w:val="NoSpacing"/>
      </w:pPr>
    </w:p>
    <w:sectPr w:rsidR="00D61262" w:rsidRPr="00BB24A1" w:rsidSect="0041258E">
      <w:footerReference w:type="default" r:id="rId9"/>
      <w:foot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E3" w:rsidRDefault="00BA5AE3" w:rsidP="00BA5AE3">
      <w:pPr>
        <w:spacing w:after="0" w:line="240" w:lineRule="auto"/>
      </w:pPr>
      <w:r>
        <w:separator/>
      </w:r>
    </w:p>
  </w:endnote>
  <w:endnote w:type="continuationSeparator" w:id="0">
    <w:p w:rsidR="00BA5AE3" w:rsidRDefault="00BA5AE3" w:rsidP="00BA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AE3" w:rsidRPr="00BA5AE3" w:rsidRDefault="00BA5AE3" w:rsidP="00BA5AE3">
    <w:pPr>
      <w:pStyle w:val="Footer"/>
      <w:rPr>
        <w:sz w:val="20"/>
        <w:szCs w:val="20"/>
      </w:rPr>
    </w:pPr>
    <w:r>
      <w:rPr>
        <w:sz w:val="20"/>
        <w:szCs w:val="20"/>
      </w:rPr>
      <w:t>06/0</w:t>
    </w:r>
    <w:r w:rsidR="0009465A">
      <w:rPr>
        <w:sz w:val="20"/>
        <w:szCs w:val="20"/>
      </w:rPr>
      <w:t>3</w:t>
    </w:r>
    <w:r>
      <w:rPr>
        <w:sz w:val="20"/>
        <w:szCs w:val="20"/>
      </w:rPr>
      <w:t>/17</w:t>
    </w:r>
    <w:r w:rsidRPr="0034432A">
      <w:rPr>
        <w:sz w:val="20"/>
        <w:szCs w:val="20"/>
      </w:rPr>
      <w:tab/>
    </w:r>
    <w:r w:rsidRPr="0034432A">
      <w:rPr>
        <w:sz w:val="20"/>
        <w:szCs w:val="20"/>
      </w:rPr>
      <w:tab/>
      <w:t>Version 1</w:t>
    </w:r>
    <w:r w:rsidR="0009465A">
      <w:rPr>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AE3" w:rsidRPr="00BA5AE3" w:rsidRDefault="00BA5AE3">
    <w:pPr>
      <w:pStyle w:val="Footer"/>
      <w:rPr>
        <w:sz w:val="20"/>
        <w:szCs w:val="20"/>
      </w:rPr>
    </w:pPr>
    <w:r>
      <w:rPr>
        <w:sz w:val="20"/>
        <w:szCs w:val="20"/>
      </w:rPr>
      <w:t>06/0</w:t>
    </w:r>
    <w:r w:rsidR="0009465A">
      <w:rPr>
        <w:sz w:val="20"/>
        <w:szCs w:val="20"/>
      </w:rPr>
      <w:t>3</w:t>
    </w:r>
    <w:r>
      <w:rPr>
        <w:sz w:val="20"/>
        <w:szCs w:val="20"/>
      </w:rPr>
      <w:t>/17</w:t>
    </w:r>
    <w:r w:rsidRPr="0034432A">
      <w:rPr>
        <w:sz w:val="20"/>
        <w:szCs w:val="20"/>
      </w:rPr>
      <w:tab/>
    </w:r>
    <w:r w:rsidRPr="0034432A">
      <w:rPr>
        <w:sz w:val="20"/>
        <w:szCs w:val="20"/>
      </w:rPr>
      <w:tab/>
      <w:t>Version 1</w:t>
    </w:r>
    <w:r w:rsidR="0009465A">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E3" w:rsidRDefault="00BA5AE3" w:rsidP="00BA5AE3">
      <w:pPr>
        <w:spacing w:after="0" w:line="240" w:lineRule="auto"/>
      </w:pPr>
      <w:r>
        <w:separator/>
      </w:r>
    </w:p>
  </w:footnote>
  <w:footnote w:type="continuationSeparator" w:id="0">
    <w:p w:rsidR="00BA5AE3" w:rsidRDefault="00BA5AE3" w:rsidP="00BA5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56894"/>
    <w:multiLevelType w:val="hybridMultilevel"/>
    <w:tmpl w:val="7092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9A3E9C"/>
    <w:multiLevelType w:val="hybridMultilevel"/>
    <w:tmpl w:val="5E04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C4595"/>
    <w:multiLevelType w:val="hybridMultilevel"/>
    <w:tmpl w:val="437C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80C19"/>
    <w:multiLevelType w:val="hybridMultilevel"/>
    <w:tmpl w:val="9342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9"/>
  </w:num>
  <w:num w:numId="6">
    <w:abstractNumId w:val="4"/>
  </w:num>
  <w:num w:numId="7">
    <w:abstractNumId w:val="6"/>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31"/>
    <w:rsid w:val="00040A6E"/>
    <w:rsid w:val="00043B83"/>
    <w:rsid w:val="00050F4A"/>
    <w:rsid w:val="00057485"/>
    <w:rsid w:val="0009465A"/>
    <w:rsid w:val="00155EDB"/>
    <w:rsid w:val="001A1FFA"/>
    <w:rsid w:val="00246C70"/>
    <w:rsid w:val="002E4526"/>
    <w:rsid w:val="002E4DAA"/>
    <w:rsid w:val="002E511B"/>
    <w:rsid w:val="00303981"/>
    <w:rsid w:val="00357056"/>
    <w:rsid w:val="00360E0D"/>
    <w:rsid w:val="003647B5"/>
    <w:rsid w:val="003834D7"/>
    <w:rsid w:val="003F1981"/>
    <w:rsid w:val="00402EE1"/>
    <w:rsid w:val="0041258E"/>
    <w:rsid w:val="0043470F"/>
    <w:rsid w:val="00446AF6"/>
    <w:rsid w:val="00464CCE"/>
    <w:rsid w:val="004C10E1"/>
    <w:rsid w:val="004E7C89"/>
    <w:rsid w:val="00516075"/>
    <w:rsid w:val="00535D57"/>
    <w:rsid w:val="00541BAA"/>
    <w:rsid w:val="00580BE7"/>
    <w:rsid w:val="00595FCD"/>
    <w:rsid w:val="005C7AB4"/>
    <w:rsid w:val="00675C98"/>
    <w:rsid w:val="00693F54"/>
    <w:rsid w:val="00697A39"/>
    <w:rsid w:val="006C2907"/>
    <w:rsid w:val="006E30DB"/>
    <w:rsid w:val="00730DE2"/>
    <w:rsid w:val="00754FC5"/>
    <w:rsid w:val="00840F29"/>
    <w:rsid w:val="00885F12"/>
    <w:rsid w:val="008B3131"/>
    <w:rsid w:val="008E746F"/>
    <w:rsid w:val="00904E89"/>
    <w:rsid w:val="00952989"/>
    <w:rsid w:val="009D28EA"/>
    <w:rsid w:val="009F4BBE"/>
    <w:rsid w:val="00A84AF8"/>
    <w:rsid w:val="00AF4CA5"/>
    <w:rsid w:val="00B54FBE"/>
    <w:rsid w:val="00B7619F"/>
    <w:rsid w:val="00B92381"/>
    <w:rsid w:val="00BA5AE3"/>
    <w:rsid w:val="00BB24A1"/>
    <w:rsid w:val="00C05D46"/>
    <w:rsid w:val="00CF342C"/>
    <w:rsid w:val="00D42DB4"/>
    <w:rsid w:val="00D61262"/>
    <w:rsid w:val="00D66A44"/>
    <w:rsid w:val="00D770FF"/>
    <w:rsid w:val="00DC1965"/>
    <w:rsid w:val="00E377A2"/>
    <w:rsid w:val="00E61CE0"/>
    <w:rsid w:val="00EA1AF1"/>
    <w:rsid w:val="00EC01C2"/>
    <w:rsid w:val="00F03F78"/>
    <w:rsid w:val="00F6379B"/>
    <w:rsid w:val="00FD1522"/>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6565B-FDE3-4B5A-9475-65758BDE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BE"/>
    <w:rPr>
      <w:rFonts w:ascii="Arial" w:hAnsi="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customStyle="1" w:styleId="Default">
    <w:name w:val="Default"/>
    <w:rsid w:val="008B313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5EDB"/>
    <w:pPr>
      <w:ind w:left="720"/>
      <w:contextualSpacing/>
    </w:pPr>
    <w:rPr>
      <w:rFonts w:ascii="Calibri" w:eastAsia="Calibri" w:hAnsi="Calibri" w:cs="Times New Roman"/>
      <w:lang w:eastAsia="en-US"/>
    </w:rPr>
  </w:style>
  <w:style w:type="character" w:customStyle="1" w:styleId="nobreak">
    <w:name w:val="nobreak"/>
    <w:basedOn w:val="DefaultParagraphFont"/>
    <w:rsid w:val="00155EDB"/>
  </w:style>
  <w:style w:type="paragraph" w:styleId="BalloonText">
    <w:name w:val="Balloon Text"/>
    <w:basedOn w:val="Normal"/>
    <w:link w:val="BalloonTextChar"/>
    <w:uiPriority w:val="99"/>
    <w:semiHidden/>
    <w:unhideWhenUsed/>
    <w:rsid w:val="009D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8EA"/>
    <w:rPr>
      <w:rFonts w:ascii="Segoe UI" w:hAnsi="Segoe UI" w:cs="Segoe UI"/>
      <w:sz w:val="18"/>
      <w:szCs w:val="18"/>
    </w:rPr>
  </w:style>
  <w:style w:type="paragraph" w:styleId="Header">
    <w:name w:val="header"/>
    <w:basedOn w:val="Normal"/>
    <w:link w:val="HeaderChar"/>
    <w:uiPriority w:val="99"/>
    <w:unhideWhenUsed/>
    <w:rsid w:val="00BA5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AE3"/>
    <w:rPr>
      <w:rFonts w:ascii="Arial" w:hAnsi="Arial"/>
    </w:rPr>
  </w:style>
  <w:style w:type="paragraph" w:styleId="Footer">
    <w:name w:val="footer"/>
    <w:basedOn w:val="Normal"/>
    <w:link w:val="FooterChar"/>
    <w:uiPriority w:val="99"/>
    <w:unhideWhenUsed/>
    <w:rsid w:val="00BA5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A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Documents\Custom%20Office%20Templates\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CB17-9352-499F-82D8-071BF1E8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Template</Template>
  <TotalTime>0</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Davis</dc:creator>
  <cp:keywords/>
  <dc:description/>
  <cp:lastModifiedBy>Jo</cp:lastModifiedBy>
  <cp:revision>2</cp:revision>
  <cp:lastPrinted>2016-12-22T11:21:00Z</cp:lastPrinted>
  <dcterms:created xsi:type="dcterms:W3CDTF">2017-03-16T11:46:00Z</dcterms:created>
  <dcterms:modified xsi:type="dcterms:W3CDTF">2017-03-16T11:46:00Z</dcterms:modified>
</cp:coreProperties>
</file>